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exact"/>
        <w:rPr>
          <w:rFonts w:ascii="仿宋" w:hAnsi="仿宋" w:eastAsia="仿宋" w:cs="仿宋"/>
          <w:bCs/>
          <w:sz w:val="30"/>
          <w:szCs w:val="30"/>
          <w:lang w:bidi="zh-TW"/>
        </w:rPr>
      </w:pPr>
      <w:r>
        <w:rPr>
          <w:rFonts w:hint="eastAsia" w:ascii="仿宋" w:hAnsi="仿宋" w:eastAsia="仿宋" w:cs="仿宋"/>
          <w:bCs/>
          <w:sz w:val="30"/>
          <w:szCs w:val="30"/>
          <w:lang w:bidi="zh-TW"/>
        </w:rPr>
        <w:t>附件4：</w:t>
      </w:r>
    </w:p>
    <w:p>
      <w:pPr>
        <w:spacing w:before="156" w:beforeLines="50" w:after="156" w:afterLines="50" w:line="400" w:lineRule="exact"/>
        <w:ind w:right="-424" w:rightChars="-202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区域（行业）赛区承办（协办）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申办</w:t>
      </w:r>
      <w:r>
        <w:rPr>
          <w:rFonts w:hint="eastAsia" w:ascii="宋体" w:hAnsi="宋体" w:cs="宋体"/>
          <w:b/>
          <w:bCs/>
          <w:sz w:val="32"/>
          <w:szCs w:val="32"/>
        </w:rPr>
        <w:t>有关说明</w:t>
      </w: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一、承办（协办）单位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申办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条件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满足</w:t>
      </w:r>
      <w:r>
        <w:rPr>
          <w:rFonts w:hint="eastAsia" w:ascii="仿宋" w:hAnsi="仿宋" w:eastAsia="仿宋" w:cs="仿宋"/>
          <w:sz w:val="28"/>
          <w:szCs w:val="28"/>
        </w:rPr>
        <w:t>以下</w:t>
      </w:r>
      <w:r>
        <w:rPr>
          <w:rFonts w:hint="eastAsia" w:ascii="仿宋" w:hAnsi="仿宋" w:eastAsia="仿宋" w:cs="仿宋"/>
          <w:bCs/>
          <w:sz w:val="28"/>
          <w:szCs w:val="28"/>
        </w:rPr>
        <w:t>条件的单位可申请为承办单位，部分条件不足的可以申请为协办单位：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在本区域（行业）有较大影响力和引领力，社会信誉良好； 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能够遵循大赛理念、遵守大赛制度、服从大赛组委会领导；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愿意为信创优秀产品、优秀方案应用推广，为大赛技术研究、资源成果转化作贡献；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在本区域（行业）有较好的政府、教育等行业资源，能邀请本区域（行业）相关政府主管部门作为区域（行业）赛事指导单位；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有信创领域相关专家资源，能有效组建专家裁判团队（裁判名单须经大赛组委会审核），保证大赛选拔赛能高质量完成；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能够组织本区域（行业）300人以上报名参加大赛初赛；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能够组织30人以上专业观众参加大赛总决赛现场观赛和出席信创主题论坛；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能够为大赛提供必要的人力、物力和财力等方面的保障支持，并合理承担大赛组织运行费用；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能够提供适合承办竞赛的场地和设备设施；赛事场馆所在地交通便利，便于选手参赛；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广东省网络空间安全协会理事单位以上或全国网安联成员单位优先；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能够深入开展产科教融合、具有竞赛成果转化推广的空间、对信创产业以及信创行业人才培养有专项规划的优先；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举办过较大型信创论坛或相关主题研讨会的优先。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二、承办（协办）单位享受权益</w:t>
      </w:r>
    </w:p>
    <w:p>
      <w:pPr>
        <w:spacing w:line="440" w:lineRule="exact"/>
        <w:ind w:firstLine="576" w:firstLineChars="20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申办单位经审核通过后成为大赛区域（行业）赛区承办（协办）单位，可享受以下权益：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可获得大赛组委会对赛区组织工作的指导和支持；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在组委会的总体规划下，可使用大赛名称和部分对应信息在承办赛区范围内进行宣传、动员；赛区现场的主题名称为“第三届广东信创大赛（区域/行业）赛区”；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以大赛组织机构成员的身份，其称谓和LOGO将伴随大赛组织机构在省级各宣传平台上出现；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优秀组织单位可获得大赛宣传榜永久居留权；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可获得大赛对应范围全套宣传资料电子版；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优先获得与大赛组织机构内部合作权，享受相应权益；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优先获得组委会组织的对外交流活动机会等;</w:t>
      </w:r>
    </w:p>
    <w:p>
      <w:pPr>
        <w:numPr>
          <w:ilvl w:val="0"/>
          <w:numId w:val="2"/>
        </w:num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可对大赛组织实施提出意见和建议，对所承办（协办）赛区的赛事有对应组织权限（赛事组织方案须报大赛组委会审批后方可实施）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440" w:lineRule="exact"/>
        <w:ind w:left="420" w:leftChars="200" w:firstLine="281" w:firstLineChars="1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申办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与遴选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（一）由各申办单位提出书面申请，并按要求将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申办</w:t>
      </w:r>
      <w:r>
        <w:rPr>
          <w:rFonts w:hint="eastAsia" w:ascii="仿宋" w:hAnsi="仿宋" w:eastAsia="仿宋" w:cs="仿宋"/>
          <w:sz w:val="28"/>
          <w:szCs w:val="28"/>
        </w:rPr>
        <w:t>材料报大赛组委会秘书处；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（二）大赛组委会技术委员会组织专家初审，遴选出入围单位后，必要时选派专家实地考察承办地办赛条件；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（三）大赛组委会技术委员会汇总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申办</w:t>
      </w:r>
      <w:r>
        <w:rPr>
          <w:rFonts w:hint="eastAsia" w:ascii="仿宋" w:hAnsi="仿宋" w:eastAsia="仿宋" w:cs="仿宋"/>
          <w:sz w:val="28"/>
          <w:szCs w:val="28"/>
        </w:rPr>
        <w:t>情况，组织评议并形成书面意见，报大赛组委会审批；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（四）根据大赛组委会批准意见，最终确定区域（行业）赛承办或协办单位，并函复申办单位。</w:t>
      </w:r>
    </w:p>
    <w:p>
      <w:pPr>
        <w:widowControl/>
        <w:shd w:val="clear" w:color="auto" w:fill="FFFFFF"/>
        <w:spacing w:line="4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四、其他事项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（一）大赛的组织坚持节俭办赛、廉洁办赛、务求实效的原则。申办单位可以选择承办或协办整个赛事，也可选择承办1个或多个赛项（活动）。鼓励同地区多单位联合承办赛事。</w:t>
      </w:r>
    </w:p>
    <w:p>
      <w:pPr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（二）对申办成功的单位，大赛组委会将发挥行业技术和资源整合优势，积极为其技能人才队伍建设和产教融合高质量发展提供服务。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解释权归广东信创大赛组委会所有。</w:t>
      </w:r>
    </w:p>
    <w:p>
      <w:pPr>
        <w:widowControl/>
        <w:shd w:val="clear" w:color="auto" w:fill="FFFFFF"/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widowControl/>
        <w:shd w:val="clear" w:color="auto" w:fill="FFFFFF"/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widowControl/>
        <w:shd w:val="clear" w:color="auto" w:fill="FFFFFF"/>
        <w:spacing w:line="44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广东信创大赛组委会</w:t>
      </w:r>
    </w:p>
    <w:p>
      <w:pPr>
        <w:widowControl/>
        <w:shd w:val="clear" w:color="auto" w:fill="FFFFFF"/>
        <w:spacing w:line="440" w:lineRule="exact"/>
        <w:ind w:left="4838" w:leftChars="2304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240" w:right="1361" w:bottom="898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4A0C2"/>
    <w:multiLevelType w:val="singleLevel"/>
    <w:tmpl w:val="CE94A0C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28"/>
        <w:szCs w:val="28"/>
      </w:rPr>
    </w:lvl>
  </w:abstractNum>
  <w:abstractNum w:abstractNumId="1">
    <w:nsid w:val="1BA4A97F"/>
    <w:multiLevelType w:val="singleLevel"/>
    <w:tmpl w:val="1BA4A97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28"/>
        <w:szCs w:val="28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NGFiYjZhYjdkNjlkZmVkZjlmODRmYTE0YjI3OTQifQ=="/>
  </w:docVars>
  <w:rsids>
    <w:rsidRoot w:val="00000000"/>
    <w:rsid w:val="375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2024-03-13T09:27:14Z</dcterms:created>
  <dc:creator>Administrator</dc:creator>
  <cp:lastModifiedBy>殇璃</cp:lastModifiedBy>
  <dcterms:modified xsi:type="dcterms:W3CDTF">2024-03-13T09:27:18Z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F9CF02F4A2154A7B8DBCD108CD449CDD_12</vt:lpwstr>
  </property>
</Properties>
</file>