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topLinePunct w:val="0"/>
        <w:autoSpaceDE/>
        <w:autoSpaceDN/>
        <w:bidi w:val="0"/>
        <w:adjustRightInd w:val="0"/>
        <w:snapToGrid w:val="0"/>
        <w:ind w:right="246" w:rightChars="117"/>
        <w:textAlignment w:val="auto"/>
        <w:rPr>
          <w:rFonts w:hint="default"/>
          <w:lang w:val="en-US"/>
        </w:rPr>
        <w:sectPr>
          <w:headerReference r:id="rId5" w:type="first"/>
          <w:footerReference r:id="rId8" w:type="first"/>
          <w:headerReference r:id="rId3" w:type="default"/>
          <w:footerReference r:id="rId6" w:type="default"/>
          <w:headerReference r:id="rId4" w:type="even"/>
          <w:footerReference r:id="rId7" w:type="even"/>
          <w:pgSz w:w="11900" w:h="16838"/>
          <w:pgMar w:top="1417" w:right="1134" w:bottom="1440" w:left="1417" w:header="454" w:footer="964" w:gutter="0"/>
          <w:pgNumType w:fmt="decimal" w:start="1"/>
          <w:cols w:space="0" w:num="1"/>
          <w:docGrid w:type="lines" w:linePitch="317" w:charSpace="0"/>
        </w:sectPr>
      </w:pPr>
      <w:bookmarkStart w:id="0" w:name="SectionMark0"/>
      <w:r>
        <mc:AlternateContent>
          <mc:Choice Requires="wps">
            <w:drawing>
              <wp:anchor distT="0" distB="0" distL="114300" distR="114300" simplePos="0" relativeHeight="251673600" behindDoc="0" locked="1" layoutInCell="1" allowOverlap="1">
                <wp:simplePos x="0" y="0"/>
                <wp:positionH relativeFrom="margin">
                  <wp:posOffset>3919220</wp:posOffset>
                </wp:positionH>
                <wp:positionV relativeFrom="margin">
                  <wp:posOffset>8269605</wp:posOffset>
                </wp:positionV>
                <wp:extent cx="434975" cy="263525"/>
                <wp:effectExtent l="0" t="0" r="3175" b="3175"/>
                <wp:wrapNone/>
                <wp:docPr id="20" name="fmFrame7"/>
                <wp:cNvGraphicFramePr/>
                <a:graphic xmlns:a="http://schemas.openxmlformats.org/drawingml/2006/main">
                  <a:graphicData uri="http://schemas.microsoft.com/office/word/2010/wordprocessingShape">
                    <wps:wsp>
                      <wps:cNvSpPr txBox="1"/>
                      <wps:spPr>
                        <a:xfrm>
                          <a:off x="0" y="0"/>
                          <a:ext cx="434975" cy="263525"/>
                        </a:xfrm>
                        <a:prstGeom prst="rect">
                          <a:avLst/>
                        </a:prstGeom>
                        <a:solidFill>
                          <a:srgbClr val="FFFFFF"/>
                        </a:solidFill>
                        <a:ln>
                          <a:noFill/>
                        </a:ln>
                      </wps:spPr>
                      <wps:txbx>
                        <w:txbxContent>
                          <w:p>
                            <w:pPr>
                              <w:pStyle w:val="39"/>
                              <w:spacing w:line="360" w:lineRule="exact"/>
                              <w:jc w:val="distribute"/>
                              <w:rPr>
                                <w:rFonts w:hint="eastAsia" w:hAnsi="黑体" w:cs="黑体"/>
                                <w:spacing w:val="-6"/>
                                <w:w w:val="100"/>
                                <w:sz w:val="32"/>
                                <w:szCs w:val="32"/>
                                <w:lang w:eastAsia="zh-CN"/>
                              </w:rPr>
                            </w:pPr>
                            <w:r>
                              <w:rPr>
                                <w:rFonts w:hint="eastAsia" w:hAnsi="黑体" w:cs="黑体"/>
                                <w:spacing w:val="-6"/>
                                <w:w w:val="100"/>
                                <w:sz w:val="32"/>
                                <w:szCs w:val="32"/>
                                <w:lang w:eastAsia="zh-CN"/>
                              </w:rPr>
                              <w:t>发布</w:t>
                            </w:r>
                          </w:p>
                          <w:p>
                            <w:pPr>
                              <w:pStyle w:val="39"/>
                              <w:spacing w:line="360" w:lineRule="exact"/>
                              <w:jc w:val="distribute"/>
                              <w:rPr>
                                <w:rFonts w:hint="eastAsia" w:hAnsi="黑体" w:cs="黑体"/>
                                <w:spacing w:val="-6"/>
                                <w:w w:val="100"/>
                                <w:sz w:val="32"/>
                                <w:szCs w:val="32"/>
                                <w:lang w:eastAsia="zh-CN"/>
                              </w:rPr>
                            </w:pPr>
                          </w:p>
                        </w:txbxContent>
                      </wps:txbx>
                      <wps:bodyPr lIns="0" tIns="0" rIns="0" bIns="0" upright="1"/>
                    </wps:wsp>
                  </a:graphicData>
                </a:graphic>
              </wp:anchor>
            </w:drawing>
          </mc:Choice>
          <mc:Fallback>
            <w:pict>
              <v:shape id="fmFrame7" o:spid="_x0000_s1026" o:spt="202" type="#_x0000_t202" style="position:absolute;left:0pt;margin-left:308.6pt;margin-top:651.15pt;height:20.75pt;width:34.25pt;mso-position-horizontal-relative:margin;mso-position-vertical-relative:margin;z-index:251673600;mso-width-relative:page;mso-height-relative:page;" fillcolor="#FFFFFF" filled="t" stroked="f" coordsize="21600,21600" o:gfxdata="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ayh3aAAAADQEAAA8AAAAAAAAAAQAgAAAAIgAAAGRycy9kb3ducmV2Lnht&#10;bFBLAQIUABQAAAAIAIdO4kBe1+bWvgEAAJgDAAAOAAAAAAAAAAEAIAAAACkBAABkcnMvZTJvRG9j&#10;LnhtbFBLBQYAAAAABgAGAFkBAABZBQAAAAA=&#10;">
                <v:fill on="t" focussize="0,0"/>
                <v:stroke on="f"/>
                <v:imagedata o:title=""/>
                <o:lock v:ext="edit" aspectratio="f"/>
                <v:textbox inset="0mm,0mm,0mm,0mm">
                  <w:txbxContent>
                    <w:p>
                      <w:pPr>
                        <w:pStyle w:val="39"/>
                        <w:spacing w:line="360" w:lineRule="exact"/>
                        <w:jc w:val="distribute"/>
                        <w:rPr>
                          <w:rFonts w:hint="eastAsia" w:hAnsi="黑体" w:cs="黑体"/>
                          <w:spacing w:val="-6"/>
                          <w:w w:val="100"/>
                          <w:sz w:val="32"/>
                          <w:szCs w:val="32"/>
                          <w:lang w:eastAsia="zh-CN"/>
                        </w:rPr>
                      </w:pPr>
                      <w:r>
                        <w:rPr>
                          <w:rFonts w:hint="eastAsia" w:hAnsi="黑体" w:cs="黑体"/>
                          <w:spacing w:val="-6"/>
                          <w:w w:val="100"/>
                          <w:sz w:val="32"/>
                          <w:szCs w:val="32"/>
                          <w:lang w:eastAsia="zh-CN"/>
                        </w:rPr>
                        <w:t>发布</w:t>
                      </w:r>
                    </w:p>
                    <w:p>
                      <w:pPr>
                        <w:pStyle w:val="39"/>
                        <w:spacing w:line="360" w:lineRule="exact"/>
                        <w:jc w:val="distribute"/>
                        <w:rPr>
                          <w:rFonts w:hint="eastAsia" w:hAnsi="黑体" w:cs="黑体"/>
                          <w:spacing w:val="-6"/>
                          <w:w w:val="100"/>
                          <w:sz w:val="32"/>
                          <w:szCs w:val="32"/>
                          <w:lang w:eastAsia="zh-CN"/>
                        </w:rPr>
                      </w:pPr>
                    </w:p>
                  </w:txbxContent>
                </v:textbox>
                <w10:anchorlock/>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7908925</wp:posOffset>
                </wp:positionV>
                <wp:extent cx="6102350" cy="0"/>
                <wp:effectExtent l="0" t="0" r="0" b="0"/>
                <wp:wrapNone/>
                <wp:docPr id="12" name="自选图形 451"/>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1" o:spid="_x0000_s1026" o:spt="32" type="#_x0000_t32" style="position:absolute;left:0pt;margin-left:1.25pt;margin-top:622.75pt;height:0pt;width:480.5pt;z-index:251672576;mso-width-relative:page;mso-height-relative:page;" filled="f" stroked="t" coordsize="21600,21600" o:gfxdata="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wdMpNYAAAALAQAADwAAAAAAAAABACAAAAAiAAAAZHJzL2Rvd25yZXYueG1sUEsB&#10;AhQAFAAAAAgAh07iQAhzqiH3AQAA5gMAAA4AAAAAAAAAAQAgAAAAJQ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-161925</wp:posOffset>
                </wp:positionH>
                <wp:positionV relativeFrom="paragraph">
                  <wp:posOffset>2297430</wp:posOffset>
                </wp:positionV>
                <wp:extent cx="6102350" cy="0"/>
                <wp:effectExtent l="0" t="0" r="0" b="0"/>
                <wp:wrapNone/>
                <wp:docPr id="11" name="自选图形 450"/>
                <wp:cNvGraphicFramePr/>
                <a:graphic xmlns:a="http://schemas.openxmlformats.org/drawingml/2006/main">
                  <a:graphicData uri="http://schemas.microsoft.com/office/word/2010/wordprocessingShape">
                    <wps:wsp>
                      <wps:cNvCnPr/>
                      <wps:spPr>
                        <a:xfrm>
                          <a:off x="0" y="0"/>
                          <a:ext cx="61023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0" o:spid="_x0000_s1026" o:spt="32" type="#_x0000_t32" style="position:absolute;left:0pt;margin-left:-12.75pt;margin-top:180.9pt;height:0pt;width:480.5pt;z-index:251671552;mso-width-relative:page;mso-height-relative:page;" filled="f" stroked="t" coordsize="21600,21600" o:gfxdata="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DeVPXAAAACwEAAA8AAAAAAAAAAQAgAAAAIgAAAGRycy9kb3ducmV2LnhtbFBLAQIU&#10;ABQAAAAIAIdO4kArLzst9AEAAOYDAAAOAAAAAAAAAAEAIAAAACY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2273300</wp:posOffset>
                </wp:positionV>
                <wp:extent cx="6121400" cy="0"/>
                <wp:effectExtent l="0" t="0" r="0" b="0"/>
                <wp:wrapNone/>
                <wp:docPr id="2" name="直线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3" o:spid="_x0000_s1026" o:spt="20" style="position:absolute;left:0pt;margin-left:-11.25pt;margin-top:179pt;height:0pt;width:482pt;z-index:251662336;mso-width-relative:page;mso-height-relative:page;" filled="f" stroked="t" coordsize="21600,21600" o:gfxdata="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NRGa2AAAAAsBAAAP&#10;AAAAAAAAAAEAIAAAACIAAABkcnMvZG93bnJldi54bWxQSwECFAAUAAAACACHTuJA9bZi598BAADQ&#10;AwAADgAAAAAAAAABACAAAAAnAQAAZHJzL2Uyb0RvYy54bWxQSwUGAAAAAAYABgBZAQAAeA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70528" behindDoc="0" locked="1" layoutInCell="1" allowOverlap="1">
                <wp:simplePos x="0" y="0"/>
                <wp:positionH relativeFrom="margin">
                  <wp:posOffset>1461770</wp:posOffset>
                </wp:positionH>
                <wp:positionV relativeFrom="margin">
                  <wp:posOffset>8079105</wp:posOffset>
                </wp:positionV>
                <wp:extent cx="2330450" cy="548640"/>
                <wp:effectExtent l="0" t="0" r="12700" b="3810"/>
                <wp:wrapNone/>
                <wp:docPr id="10" name="fmFrame7"/>
                <wp:cNvGraphicFramePr/>
                <a:graphic xmlns:a="http://schemas.openxmlformats.org/drawingml/2006/main">
                  <a:graphicData uri="http://schemas.microsoft.com/office/word/2010/wordprocessingShape">
                    <wps:wsp>
                      <wps:cNvSpPr txBox="1"/>
                      <wps:spPr>
                        <a:xfrm>
                          <a:off x="0" y="0"/>
                          <a:ext cx="2330450" cy="548640"/>
                        </a:xfrm>
                        <a:prstGeom prst="rect">
                          <a:avLst/>
                        </a:prstGeom>
                        <a:solidFill>
                          <a:srgbClr val="FFFFFF"/>
                        </a:solidFill>
                        <a:ln>
                          <a:noFill/>
                        </a:ln>
                      </wps:spPr>
                      <wps:txbx>
                        <w:txbxContent>
                          <w:p>
                            <w:pPr>
                              <w:pStyle w:val="39"/>
                              <w:keepNext w:val="0"/>
                              <w:keepLines w:val="0"/>
                              <w:pageBreakBefore w:val="0"/>
                              <w:widowControl/>
                              <w:kinsoku/>
                              <w:wordWrap/>
                              <w:overflowPunct/>
                              <w:topLinePunct w:val="0"/>
                              <w:autoSpaceDE/>
                              <w:autoSpaceDN/>
                              <w:bidi w:val="0"/>
                              <w:adjustRightInd/>
                              <w:snapToGrid/>
                              <w:spacing w:line="400" w:lineRule="exact"/>
                              <w:jc w:val="distribute"/>
                              <w:textAlignment w:val="auto"/>
                              <w:rPr>
                                <w:rFonts w:hint="eastAsia" w:hAnsi="黑体" w:cs="黑体"/>
                                <w:spacing w:val="-6"/>
                                <w:w w:val="100"/>
                                <w:sz w:val="32"/>
                                <w:szCs w:val="32"/>
                              </w:rPr>
                            </w:pPr>
                            <w:r>
                              <w:rPr>
                                <w:rFonts w:hint="eastAsia" w:hAnsi="黑体" w:cs="黑体"/>
                                <w:spacing w:val="-6"/>
                                <w:w w:val="100"/>
                                <w:sz w:val="32"/>
                                <w:szCs w:val="32"/>
                              </w:rPr>
                              <w:t xml:space="preserve">北京网络空间安全协会  </w:t>
                            </w:r>
                            <w:r>
                              <w:rPr>
                                <w:rFonts w:hint="eastAsia" w:hAnsi="黑体" w:cs="黑体"/>
                                <w:spacing w:val="-6"/>
                                <w:w w:val="100"/>
                                <w:sz w:val="32"/>
                                <w:szCs w:val="32"/>
                                <w:lang w:val="en-US" w:eastAsia="zh-CN"/>
                              </w:rPr>
                              <w:t xml:space="preserve">  </w:t>
                            </w:r>
                          </w:p>
                          <w:p>
                            <w:pPr>
                              <w:pStyle w:val="39"/>
                              <w:keepNext w:val="0"/>
                              <w:keepLines w:val="0"/>
                              <w:pageBreakBefore w:val="0"/>
                              <w:widowControl/>
                              <w:kinsoku/>
                              <w:wordWrap/>
                              <w:overflowPunct/>
                              <w:topLinePunct w:val="0"/>
                              <w:autoSpaceDE/>
                              <w:autoSpaceDN/>
                              <w:bidi w:val="0"/>
                              <w:adjustRightInd/>
                              <w:snapToGrid/>
                              <w:spacing w:line="400" w:lineRule="exact"/>
                              <w:jc w:val="distribute"/>
                              <w:textAlignment w:val="auto"/>
                              <w:rPr>
                                <w:rFonts w:hint="eastAsia" w:hAnsi="黑体" w:cs="黑体"/>
                                <w:spacing w:val="-6"/>
                                <w:w w:val="100"/>
                                <w:sz w:val="32"/>
                                <w:szCs w:val="32"/>
                                <w:lang w:eastAsia="zh-CN"/>
                              </w:rPr>
                            </w:pPr>
                            <w:r>
                              <w:rPr>
                                <w:rFonts w:hint="eastAsia" w:hAnsi="黑体" w:cs="黑体"/>
                                <w:spacing w:val="-6"/>
                                <w:w w:val="100"/>
                                <w:sz w:val="32"/>
                                <w:szCs w:val="32"/>
                                <w:lang w:eastAsia="zh-CN"/>
                              </w:rPr>
                              <w:t>广东省网络空间安全协会</w:t>
                            </w:r>
                          </w:p>
                          <w:p>
                            <w:pPr>
                              <w:pStyle w:val="39"/>
                              <w:spacing w:line="360" w:lineRule="exact"/>
                              <w:jc w:val="distribute"/>
                              <w:rPr>
                                <w:rFonts w:hint="eastAsia" w:hAnsi="黑体" w:cs="黑体"/>
                                <w:spacing w:val="-6"/>
                                <w:w w:val="100"/>
                                <w:sz w:val="32"/>
                                <w:szCs w:val="32"/>
                                <w:lang w:eastAsia="zh-CN"/>
                              </w:rPr>
                            </w:pPr>
                          </w:p>
                          <w:p>
                            <w:pPr>
                              <w:pStyle w:val="39"/>
                              <w:spacing w:line="360" w:lineRule="exact"/>
                              <w:jc w:val="distribute"/>
                              <w:rPr>
                                <w:rFonts w:hint="eastAsia" w:hAnsi="黑体" w:cs="黑体"/>
                                <w:spacing w:val="-6"/>
                                <w:w w:val="100"/>
                                <w:sz w:val="32"/>
                                <w:szCs w:val="32"/>
                                <w:lang w:eastAsia="zh-CN"/>
                              </w:rPr>
                            </w:pPr>
                          </w:p>
                        </w:txbxContent>
                      </wps:txbx>
                      <wps:bodyPr lIns="0" tIns="0" rIns="0" bIns="0" upright="1"/>
                    </wps:wsp>
                  </a:graphicData>
                </a:graphic>
              </wp:anchor>
            </w:drawing>
          </mc:Choice>
          <mc:Fallback>
            <w:pict>
              <v:shape id="fmFrame7" o:spid="_x0000_s1026" o:spt="202" type="#_x0000_t202" style="position:absolute;left:0pt;margin-left:115.1pt;margin-top:636.15pt;height:43.2pt;width:183.5pt;mso-position-horizontal-relative:margin;mso-position-vertical-relative:margin;z-index:251670528;mso-width-relative:page;mso-height-relative:page;" fillcolor="#FFFFFF" filled="t" stroked="f" coordsize="21600,21600" o:gfxdata="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NznPdoAAAANAQAADwAAAAAAAAABACAAAAAiAAAAZHJzL2Rvd25yZXYu&#10;eG1sUEsBAhQAFAAAAAgAh07iQGO3NPjAAQAAmQMAAA4AAAAAAAAAAQAgAAAAKQEAAGRycy9lMm9E&#10;b2MueG1sUEsFBgAAAAAGAAYAWQEAAFsFAAAAAA==&#10;">
                <v:fill on="t" focussize="0,0"/>
                <v:stroke on="f"/>
                <v:imagedata o:title=""/>
                <o:lock v:ext="edit" aspectratio="f"/>
                <v:textbox inset="0mm,0mm,0mm,0mm">
                  <w:txbxContent>
                    <w:p>
                      <w:pPr>
                        <w:pStyle w:val="39"/>
                        <w:keepNext w:val="0"/>
                        <w:keepLines w:val="0"/>
                        <w:pageBreakBefore w:val="0"/>
                        <w:widowControl/>
                        <w:kinsoku/>
                        <w:wordWrap/>
                        <w:overflowPunct/>
                        <w:topLinePunct w:val="0"/>
                        <w:autoSpaceDE/>
                        <w:autoSpaceDN/>
                        <w:bidi w:val="0"/>
                        <w:adjustRightInd/>
                        <w:snapToGrid/>
                        <w:spacing w:line="400" w:lineRule="exact"/>
                        <w:jc w:val="distribute"/>
                        <w:textAlignment w:val="auto"/>
                        <w:rPr>
                          <w:rFonts w:hint="eastAsia" w:hAnsi="黑体" w:cs="黑体"/>
                          <w:spacing w:val="-6"/>
                          <w:w w:val="100"/>
                          <w:sz w:val="32"/>
                          <w:szCs w:val="32"/>
                        </w:rPr>
                      </w:pPr>
                      <w:r>
                        <w:rPr>
                          <w:rFonts w:hint="eastAsia" w:hAnsi="黑体" w:cs="黑体"/>
                          <w:spacing w:val="-6"/>
                          <w:w w:val="100"/>
                          <w:sz w:val="32"/>
                          <w:szCs w:val="32"/>
                        </w:rPr>
                        <w:t xml:space="preserve">北京网络空间安全协会  </w:t>
                      </w:r>
                      <w:r>
                        <w:rPr>
                          <w:rFonts w:hint="eastAsia" w:hAnsi="黑体" w:cs="黑体"/>
                          <w:spacing w:val="-6"/>
                          <w:w w:val="100"/>
                          <w:sz w:val="32"/>
                          <w:szCs w:val="32"/>
                          <w:lang w:val="en-US" w:eastAsia="zh-CN"/>
                        </w:rPr>
                        <w:t xml:space="preserve">  </w:t>
                      </w:r>
                    </w:p>
                    <w:p>
                      <w:pPr>
                        <w:pStyle w:val="39"/>
                        <w:keepNext w:val="0"/>
                        <w:keepLines w:val="0"/>
                        <w:pageBreakBefore w:val="0"/>
                        <w:widowControl/>
                        <w:kinsoku/>
                        <w:wordWrap/>
                        <w:overflowPunct/>
                        <w:topLinePunct w:val="0"/>
                        <w:autoSpaceDE/>
                        <w:autoSpaceDN/>
                        <w:bidi w:val="0"/>
                        <w:adjustRightInd/>
                        <w:snapToGrid/>
                        <w:spacing w:line="400" w:lineRule="exact"/>
                        <w:jc w:val="distribute"/>
                        <w:textAlignment w:val="auto"/>
                        <w:rPr>
                          <w:rFonts w:hint="eastAsia" w:hAnsi="黑体" w:cs="黑体"/>
                          <w:spacing w:val="-6"/>
                          <w:w w:val="100"/>
                          <w:sz w:val="32"/>
                          <w:szCs w:val="32"/>
                          <w:lang w:eastAsia="zh-CN"/>
                        </w:rPr>
                      </w:pPr>
                      <w:r>
                        <w:rPr>
                          <w:rFonts w:hint="eastAsia" w:hAnsi="黑体" w:cs="黑体"/>
                          <w:spacing w:val="-6"/>
                          <w:w w:val="100"/>
                          <w:sz w:val="32"/>
                          <w:szCs w:val="32"/>
                          <w:lang w:eastAsia="zh-CN"/>
                        </w:rPr>
                        <w:t>广东省网络空间安全协会</w:t>
                      </w:r>
                    </w:p>
                    <w:p>
                      <w:pPr>
                        <w:pStyle w:val="39"/>
                        <w:spacing w:line="360" w:lineRule="exact"/>
                        <w:jc w:val="distribute"/>
                        <w:rPr>
                          <w:rFonts w:hint="eastAsia" w:hAnsi="黑体" w:cs="黑体"/>
                          <w:spacing w:val="-6"/>
                          <w:w w:val="100"/>
                          <w:sz w:val="32"/>
                          <w:szCs w:val="32"/>
                          <w:lang w:eastAsia="zh-CN"/>
                        </w:rPr>
                      </w:pPr>
                    </w:p>
                    <w:p>
                      <w:pPr>
                        <w:pStyle w:val="39"/>
                        <w:spacing w:line="360" w:lineRule="exact"/>
                        <w:jc w:val="distribute"/>
                        <w:rPr>
                          <w:rFonts w:hint="eastAsia" w:hAnsi="黑体" w:cs="黑体"/>
                          <w:spacing w:val="-6"/>
                          <w:w w:val="100"/>
                          <w:sz w:val="32"/>
                          <w:szCs w:val="32"/>
                          <w:lang w:eastAsia="zh-CN"/>
                        </w:rPr>
                      </w:pPr>
                    </w:p>
                  </w:txbxContent>
                </v:textbox>
                <w10:anchorlock/>
              </v:shap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4100830</wp:posOffset>
                </wp:positionH>
                <wp:positionV relativeFrom="margin">
                  <wp:posOffset>7592060</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6"/>
                              <w:numPr>
                                <w:ilvl w:val="0"/>
                                <w:numId w:val="0"/>
                              </w:numPr>
                              <w:rPr>
                                <w:color w:val="000000"/>
                              </w:rPr>
                            </w:pPr>
                            <w:r>
                              <w:rPr>
                                <w:rFonts w:hint="eastAsia" w:ascii="黑体"/>
                                <w:color w:val="000000"/>
                                <w:lang w:val="en-US" w:eastAsia="zh-CN"/>
                              </w:rPr>
                              <w:t>2021</w:t>
                            </w:r>
                            <w:r>
                              <w:rPr>
                                <w:rFonts w:hint="eastAsia" w:ascii="黑体"/>
                                <w:color w:val="000000"/>
                              </w:rPr>
                              <w:t>-</w:t>
                            </w:r>
                            <w:r>
                              <w:rPr>
                                <w:rFonts w:hint="eastAsia" w:ascii="黑体"/>
                                <w:color w:val="000000"/>
                                <w:lang w:val="en-US" w:eastAsia="zh-CN"/>
                              </w:rPr>
                              <w:t>11</w:t>
                            </w:r>
                            <w:r>
                              <w:rPr>
                                <w:rFonts w:hint="eastAsia" w:ascii="黑体"/>
                                <w:color w:val="000000"/>
                              </w:rPr>
                              <w:t>-</w:t>
                            </w:r>
                            <w:r>
                              <w:rPr>
                                <w:rFonts w:hint="eastAsia" w:ascii="黑体"/>
                                <w:color w:val="000000"/>
                                <w:lang w:val="en-US" w:eastAsia="zh-CN"/>
                              </w:rPr>
                              <w:t>1</w:t>
                            </w:r>
                            <w:r>
                              <w:rPr>
                                <w:rFonts w:hint="eastAsia"/>
                                <w:color w:val="000000"/>
                              </w:rPr>
                              <w:t>实施</w:t>
                            </w:r>
                          </w:p>
                        </w:txbxContent>
                      </wps:txbx>
                      <wps:bodyPr lIns="0" tIns="0" rIns="0" bIns="0" upright="1"/>
                    </wps:wsp>
                  </a:graphicData>
                </a:graphic>
              </wp:anchor>
            </w:drawing>
          </mc:Choice>
          <mc:Fallback>
            <w:pict>
              <v:shape id="fmFrame6" o:spid="_x0000_s1026" o:spt="202" type="#_x0000_t202" style="position:absolute;left:0pt;margin-left:322.9pt;margin-top:597.8pt;height:24.6pt;width:159pt;mso-position-horizontal-relative:margin;mso-position-vertical-relative:margin;z-index:251669504;mso-width-relative:page;mso-height-relative:page;" fillcolor="#FFFFFF" filled="t" stroked="f" coordsize="21600,21600" o:gfxdata="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4WRV/2wAAAA0BAAAPAAAAAAAAAAEAIAAAACIAAABkcnMvZG93bnJldi54&#10;bWxQSwECFAAUAAAACACHTuJApIaL/r4BAACYAwAADgAAAAAAAAABACAAAAAqAQAAZHJzL2Uyb0Rv&#10;Yy54bWxQSwUGAAAAAAYABgBZAQAAWgUAAAAA&#10;">
                <v:fill on="t" focussize="0,0"/>
                <v:stroke on="f"/>
                <v:imagedata o:title=""/>
                <o:lock v:ext="edit" aspectratio="f"/>
                <v:textbox inset="0mm,0mm,0mm,0mm">
                  <w:txbxContent>
                    <w:p>
                      <w:pPr>
                        <w:pStyle w:val="36"/>
                        <w:numPr>
                          <w:ilvl w:val="0"/>
                          <w:numId w:val="0"/>
                        </w:numPr>
                        <w:rPr>
                          <w:color w:val="000000"/>
                        </w:rPr>
                      </w:pPr>
                      <w:r>
                        <w:rPr>
                          <w:rFonts w:hint="eastAsia" w:ascii="黑体"/>
                          <w:color w:val="000000"/>
                          <w:lang w:val="en-US" w:eastAsia="zh-CN"/>
                        </w:rPr>
                        <w:t>2021</w:t>
                      </w:r>
                      <w:r>
                        <w:rPr>
                          <w:rFonts w:hint="eastAsia" w:ascii="黑体"/>
                          <w:color w:val="000000"/>
                        </w:rPr>
                        <w:t>-</w:t>
                      </w:r>
                      <w:r>
                        <w:rPr>
                          <w:rFonts w:hint="eastAsia" w:ascii="黑体"/>
                          <w:color w:val="000000"/>
                          <w:lang w:val="en-US" w:eastAsia="zh-CN"/>
                        </w:rPr>
                        <w:t>11</w:t>
                      </w:r>
                      <w:r>
                        <w:rPr>
                          <w:rFonts w:hint="eastAsia" w:ascii="黑体"/>
                          <w:color w:val="000000"/>
                        </w:rPr>
                        <w:t>-</w:t>
                      </w:r>
                      <w:r>
                        <w:rPr>
                          <w:rFonts w:hint="eastAsia" w:ascii="黑体"/>
                          <w:color w:val="000000"/>
                          <w:lang w:val="en-US" w:eastAsia="zh-CN"/>
                        </w:rPr>
                        <w:t>1</w:t>
                      </w:r>
                      <w:r>
                        <w:rPr>
                          <w:rFonts w:hint="eastAsia"/>
                          <w:color w:val="000000"/>
                        </w:rPr>
                        <w:t>实施</w:t>
                      </w: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9525</wp:posOffset>
                </wp:positionH>
                <wp:positionV relativeFrom="margin">
                  <wp:posOffset>7544435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7"/>
                              <w:rPr>
                                <w:color w:val="000000"/>
                              </w:rPr>
                            </w:pPr>
                            <w:r>
                              <w:rPr>
                                <w:rFonts w:hint="eastAsia" w:ascii="黑体"/>
                                <w:color w:val="000000"/>
                              </w:rPr>
                              <w:t>20</w:t>
                            </w:r>
                            <w:r>
                              <w:rPr>
                                <w:rFonts w:hint="eastAsia" w:ascii="黑体"/>
                                <w:color w:val="000000"/>
                                <w:lang w:val="en-US" w:eastAsia="zh-CN"/>
                              </w:rPr>
                              <w:t>21</w:t>
                            </w:r>
                            <w:r>
                              <w:rPr>
                                <w:rFonts w:hint="eastAsia" w:ascii="黑体"/>
                                <w:color w:val="000000"/>
                              </w:rPr>
                              <w:t>-</w:t>
                            </w:r>
                            <w:r>
                              <w:rPr>
                                <w:rFonts w:hint="eastAsia" w:ascii="黑体"/>
                                <w:color w:val="000000"/>
                                <w:lang w:val="en-US" w:eastAsia="zh-CN"/>
                              </w:rPr>
                              <w:t>10</w:t>
                            </w:r>
                            <w:r>
                              <w:rPr>
                                <w:rFonts w:hint="eastAsia" w:ascii="黑体"/>
                                <w:color w:val="000000"/>
                              </w:rPr>
                              <w:t>-</w:t>
                            </w:r>
                            <w:r>
                              <w:rPr>
                                <w:rFonts w:hint="eastAsia" w:ascii="黑体"/>
                                <w:color w:val="000000"/>
                                <w:lang w:val="en-US" w:eastAsia="zh-CN"/>
                              </w:rPr>
                              <w:t>12</w:t>
                            </w:r>
                            <w:r>
                              <w:rPr>
                                <w:rFonts w:hint="eastAsia"/>
                                <w:color w:val="000000"/>
                              </w:rPr>
                              <w:t>发布</w:t>
                            </w:r>
                          </w:p>
                        </w:txbxContent>
                      </wps:txbx>
                      <wps:bodyPr lIns="0" tIns="0" rIns="0" bIns="0" upright="1"/>
                    </wps:wsp>
                  </a:graphicData>
                </a:graphic>
              </wp:anchor>
            </w:drawing>
          </mc:Choice>
          <mc:Fallback>
            <w:pict>
              <v:shape id="fmFrame5" o:spid="_x0000_s1026" o:spt="202" type="#_x0000_t202" style="position:absolute;left:0pt;margin-left:0.75pt;margin-top:594.05pt;height:24.6pt;width:159pt;mso-position-horizontal-relative:margin;mso-position-vertical-relative:margin;z-index:251668480;mso-width-relative:page;mso-height-relative:page;" fillcolor="#FFFFFF" filled="t" stroked="f" coordsize="21600,21600" o:gfxdata="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520IdkAAAALAQAADwAAAAAAAAABACAAAAAiAAAAZHJzL2Rvd25yZXYueG1s&#10;UEsBAhQAFAAAAAgAh07iQA1dwOO+AQAAmAMAAA4AAAAAAAAAAQAgAAAAKAEAAGRycy9lMm9Eb2Mu&#10;eG1sUEsFBgAAAAAGAAYAWQEAAFgFAAAAAA==&#10;">
                <v:fill on="t" focussize="0,0"/>
                <v:stroke on="f"/>
                <v:imagedata o:title=""/>
                <o:lock v:ext="edit" aspectratio="f"/>
                <v:textbox inset="0mm,0mm,0mm,0mm">
                  <w:txbxContent>
                    <w:p>
                      <w:pPr>
                        <w:pStyle w:val="37"/>
                        <w:rPr>
                          <w:color w:val="000000"/>
                        </w:rPr>
                      </w:pPr>
                      <w:r>
                        <w:rPr>
                          <w:rFonts w:hint="eastAsia" w:ascii="黑体"/>
                          <w:color w:val="000000"/>
                        </w:rPr>
                        <w:t>20</w:t>
                      </w:r>
                      <w:r>
                        <w:rPr>
                          <w:rFonts w:hint="eastAsia" w:ascii="黑体"/>
                          <w:color w:val="000000"/>
                          <w:lang w:val="en-US" w:eastAsia="zh-CN"/>
                        </w:rPr>
                        <w:t>21</w:t>
                      </w:r>
                      <w:r>
                        <w:rPr>
                          <w:rFonts w:hint="eastAsia" w:ascii="黑体"/>
                          <w:color w:val="000000"/>
                        </w:rPr>
                        <w:t>-</w:t>
                      </w:r>
                      <w:r>
                        <w:rPr>
                          <w:rFonts w:hint="eastAsia" w:ascii="黑体"/>
                          <w:color w:val="000000"/>
                          <w:lang w:val="en-US" w:eastAsia="zh-CN"/>
                        </w:rPr>
                        <w:t>10</w:t>
                      </w:r>
                      <w:r>
                        <w:rPr>
                          <w:rFonts w:hint="eastAsia" w:ascii="黑体"/>
                          <w:color w:val="000000"/>
                        </w:rPr>
                        <w:t>-</w:t>
                      </w:r>
                      <w:r>
                        <w:rPr>
                          <w:rFonts w:hint="eastAsia" w:ascii="黑体"/>
                          <w:color w:val="000000"/>
                          <w:lang w:val="en-US" w:eastAsia="zh-CN"/>
                        </w:rPr>
                        <w:t>12</w:t>
                      </w:r>
                      <w:r>
                        <w:rPr>
                          <w:rFonts w:hint="eastAsia"/>
                          <w:color w:val="000000"/>
                        </w:rPr>
                        <w:t>发布</w:t>
                      </w:r>
                    </w:p>
                  </w:txbxContent>
                </v:textbox>
                <w10:anchorlock/>
              </v:shap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7"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44"/>
                              <w:rPr>
                                <w:b/>
                              </w:rPr>
                            </w:pPr>
                            <w:r>
                              <w:rPr>
                                <w:rFonts w:hint="eastAsia"/>
                                <w:b/>
                                <w:lang w:eastAsia="zh-CN"/>
                              </w:rPr>
                              <w:t>H</w:t>
                            </w:r>
                            <w:r>
                              <w:rPr>
                                <w:b/>
                              </w:rPr>
                              <w:t>CS</w:t>
                            </w:r>
                            <w:r>
                              <w:rPr>
                                <w:rFonts w:hint="eastAsia"/>
                                <w:b/>
                              </w:rPr>
                              <w:t xml:space="preserve">  </w:t>
                            </w:r>
                          </w:p>
                          <w:p>
                            <w:pPr>
                              <w:pStyle w:val="44"/>
                            </w:pPr>
                            <w:r>
                              <w:rPr>
                                <w:rFonts w:hint="eastAsia"/>
                              </w:rPr>
                              <w:t>中国标准文献分类号：</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6745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Xsy+DTAAAABQEAAA8AAAAAAAAAAQAgAAAAIgAAAGRycy9kb3ducmV2LnhtbFBLAQIU&#10;ABQAAAAIAIdO4kDKqgzevwEAAJgDAAAOAAAAAAAAAAEAIAAAACIBAABkcnMvZTJvRG9jLnhtbFBL&#10;BQYAAAAABgAGAFkBAABTBQAAAAA=&#10;">
                <v:fill on="t" focussize="0,0"/>
                <v:stroke on="f"/>
                <v:imagedata o:title=""/>
                <o:lock v:ext="edit" aspectratio="f"/>
                <v:textbox inset="0mm,0mm,0mm,0mm">
                  <w:txbxContent>
                    <w:p>
                      <w:pPr>
                        <w:pStyle w:val="44"/>
                        <w:rPr>
                          <w:b/>
                        </w:rPr>
                      </w:pPr>
                      <w:r>
                        <w:rPr>
                          <w:rFonts w:hint="eastAsia"/>
                          <w:b/>
                          <w:lang w:eastAsia="zh-CN"/>
                        </w:rPr>
                        <w:t>H</w:t>
                      </w:r>
                      <w:r>
                        <w:rPr>
                          <w:b/>
                        </w:rPr>
                        <w:t>CS</w:t>
                      </w:r>
                      <w:r>
                        <w:rPr>
                          <w:rFonts w:hint="eastAsia"/>
                          <w:b/>
                        </w:rPr>
                        <w:t xml:space="preserve">  </w:t>
                      </w:r>
                    </w:p>
                    <w:p>
                      <w:pPr>
                        <w:pStyle w:val="44"/>
                      </w:pPr>
                      <w:r>
                        <w:rPr>
                          <w:rFonts w:hint="eastAsia"/>
                        </w:rPr>
                        <w:t>中国标准文献分类号：</w:t>
                      </w:r>
                    </w:p>
                  </w:txbxContent>
                </v:textbox>
                <w10:anchorlock/>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6"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42"/>
                            </w:pP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643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Vk7PNgAAAAKAQAADwAAAAAAAAABACAAAAAiAAAAZHJzL2Rvd25yZXYueG1s&#10;UEsBAhQAFAAAAAgAh07iQPAc53K/AQAAmAMAAA4AAAAAAAAAAQAgAAAAJwEAAGRycy9lMm9Eb2Mu&#10;eG1sUEsFBgAAAAAGAAYAWQEAAFgFAAAAAA==&#10;">
                <v:fill on="t" focussize="0,0"/>
                <v:stroke on="f"/>
                <v:imagedata o:title=""/>
                <o:lock v:ext="edit" aspectratio="f"/>
                <v:textbox inset="0mm,0mm,0mm,0mm">
                  <w:txbxContent>
                    <w:p>
                      <w:pPr>
                        <w:pStyle w:val="42"/>
                      </w:pP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674370</wp:posOffset>
                </wp:positionH>
                <wp:positionV relativeFrom="margin">
                  <wp:posOffset>1010920</wp:posOffset>
                </wp:positionV>
                <wp:extent cx="4548505" cy="637540"/>
                <wp:effectExtent l="0" t="0" r="4445" b="10160"/>
                <wp:wrapNone/>
                <wp:docPr id="5" name="fmFrame2"/>
                <wp:cNvGraphicFramePr/>
                <a:graphic xmlns:a="http://schemas.openxmlformats.org/drawingml/2006/main">
                  <a:graphicData uri="http://schemas.microsoft.com/office/word/2010/wordprocessingShape">
                    <wps:wsp>
                      <wps:cNvSpPr txBox="1"/>
                      <wps:spPr>
                        <a:xfrm>
                          <a:off x="0" y="0"/>
                          <a:ext cx="4548505" cy="637540"/>
                        </a:xfrm>
                        <a:prstGeom prst="rect">
                          <a:avLst/>
                        </a:prstGeom>
                        <a:solidFill>
                          <a:srgbClr val="FFFFFF"/>
                        </a:solidFill>
                        <a:ln>
                          <a:noFill/>
                        </a:ln>
                      </wps:spPr>
                      <wps:txbx>
                        <w:txbxContent>
                          <w:p>
                            <w:pPr>
                              <w:pStyle w:val="33"/>
                              <w:rPr>
                                <w:sz w:val="84"/>
                                <w:szCs w:val="84"/>
                              </w:rPr>
                            </w:pPr>
                            <w:r>
                              <w:rPr>
                                <w:rFonts w:hint="eastAsia"/>
                                <w:sz w:val="84"/>
                                <w:szCs w:val="84"/>
                              </w:rPr>
                              <w:t>团体标准</w:t>
                            </w:r>
                          </w:p>
                        </w:txbxContent>
                      </wps:txbx>
                      <wps:bodyPr lIns="0" tIns="0" rIns="0" bIns="0" upright="1"/>
                    </wps:wsp>
                  </a:graphicData>
                </a:graphic>
              </wp:anchor>
            </w:drawing>
          </mc:Choice>
          <mc:Fallback>
            <w:pict>
              <v:shape id="fmFrame2" o:spid="_x0000_s1026" o:spt="202" type="#_x0000_t202" style="position:absolute;left:0pt;margin-left:53.1pt;margin-top:79.6pt;height:50.2pt;width:358.15pt;mso-position-horizontal-relative:margin;mso-position-vertical-relative:margin;z-index:251665408;mso-width-relative:page;mso-height-relative:page;" fillcolor="#FFFFFF" filled="t" stroked="f" coordsize="21600,21600" o:gfxdata="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sDr62QAAAAsBAAAPAAAAAAAAAAEAIAAAACIAAABkcnMvZG93bnJldi54&#10;bWxQSwECFAAUAAAACACHTuJAGqeOhMABAACYAwAADgAAAAAAAAABACAAAAAoAQAAZHJzL2Uyb0Rv&#10;Yy54bWxQSwUGAAAAAAYABgBZAQAAWgUAAAAA&#10;">
                <v:fill on="t" focussize="0,0"/>
                <v:stroke on="f"/>
                <v:imagedata o:title=""/>
                <o:lock v:ext="edit" aspectratio="f"/>
                <v:textbox inset="0mm,0mm,0mm,0mm">
                  <w:txbxContent>
                    <w:p>
                      <w:pPr>
                        <w:pStyle w:val="33"/>
                        <w:rPr>
                          <w:sz w:val="84"/>
                          <w:szCs w:val="84"/>
                        </w:rPr>
                      </w:pPr>
                      <w:r>
                        <w:rPr>
                          <w:rFonts w:hint="eastAsia"/>
                          <w:sz w:val="84"/>
                          <w:szCs w:val="84"/>
                        </w:rPr>
                        <w:t>团体标准</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-104775</wp:posOffset>
                </wp:positionH>
                <wp:positionV relativeFrom="margin">
                  <wp:posOffset>1401445</wp:posOffset>
                </wp:positionV>
                <wp:extent cx="6116320" cy="860425"/>
                <wp:effectExtent l="0" t="0" r="17780" b="15875"/>
                <wp:wrapNone/>
                <wp:docPr id="4" name="fmFrame3"/>
                <wp:cNvGraphicFramePr/>
                <a:graphic xmlns:a="http://schemas.openxmlformats.org/drawingml/2006/main">
                  <a:graphicData uri="http://schemas.microsoft.com/office/word/2010/wordprocessingShape">
                    <wps:wsp>
                      <wps:cNvSpPr txBox="1"/>
                      <wps:spPr>
                        <a:xfrm>
                          <a:off x="0" y="0"/>
                          <a:ext cx="6116320" cy="860425"/>
                        </a:xfrm>
                        <a:prstGeom prst="rect">
                          <a:avLst/>
                        </a:prstGeom>
                        <a:solidFill>
                          <a:srgbClr val="FFFFFF"/>
                        </a:solidFill>
                        <a:ln>
                          <a:noFill/>
                        </a:ln>
                      </wps:spPr>
                      <wps:txbx>
                        <w:txbxContent>
                          <w:p>
                            <w:pPr>
                              <w:pStyle w:val="38"/>
                              <w:rPr>
                                <w:rFonts w:eastAsia="黑体"/>
                                <w:b/>
                                <w:sz w:val="21"/>
                                <w:szCs w:val="21"/>
                              </w:rPr>
                            </w:pPr>
                          </w:p>
                          <w:p>
                            <w:pPr>
                              <w:pStyle w:val="38"/>
                              <w:jc w:val="center"/>
                              <w:rPr>
                                <w:rFonts w:ascii="黑体" w:eastAsia="黑体"/>
                                <w:sz w:val="21"/>
                                <w:szCs w:val="21"/>
                              </w:rPr>
                            </w:pPr>
                            <w:r>
                              <w:rPr>
                                <w:rFonts w:hint="eastAsia" w:eastAsia="黑体"/>
                                <w:b/>
                                <w:sz w:val="21"/>
                                <w:szCs w:val="21"/>
                                <w:lang w:val="en-US" w:eastAsia="zh-CN"/>
                              </w:rPr>
                              <w:t xml:space="preserve">                                                                        </w:t>
                            </w:r>
                            <w:r>
                              <w:rPr>
                                <w:rFonts w:hint="eastAsia" w:eastAsia="黑体"/>
                                <w:b/>
                                <w:sz w:val="21"/>
                                <w:szCs w:val="21"/>
                              </w:rPr>
                              <w:t>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txbxContent>
                      </wps:txbx>
                      <wps:bodyPr lIns="0" tIns="0" rIns="0" bIns="0" upright="1"/>
                    </wps:wsp>
                  </a:graphicData>
                </a:graphic>
              </wp:anchor>
            </w:drawing>
          </mc:Choice>
          <mc:Fallback>
            <w:pict>
              <v:shape id="fmFrame3" o:spid="_x0000_s1026" o:spt="202" type="#_x0000_t202" style="position:absolute;left:0pt;margin-left:-8.25pt;margin-top:110.35pt;height:67.75pt;width:481.6pt;mso-position-horizontal-relative:margin;mso-position-vertical-relative:margin;z-index:251664384;mso-width-relative:page;mso-height-relative:page;" fillcolor="#FFFFFF" filled="t" stroked="f" coordsize="21600,21600" o:gfxdata="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n5ql9oAAAALAQAADwAAAAAAAAABACAAAAAiAAAAZHJzL2Rvd25yZXYueG1s&#10;UEsBAhQAFAAAAAgAh07iQC7vMAe9AQAAmAMAAA4AAAAAAAAAAQAgAAAAKQEAAGRycy9lMm9Eb2Mu&#10;eG1sUEsFBgAAAAAGAAYAWQEAAFgFAAAAAA==&#10;">
                <v:fill on="t" focussize="0,0"/>
                <v:stroke on="f"/>
                <v:imagedata o:title=""/>
                <o:lock v:ext="edit" aspectratio="f"/>
                <v:textbox inset="0mm,0mm,0mm,0mm">
                  <w:txbxContent>
                    <w:p>
                      <w:pPr>
                        <w:pStyle w:val="38"/>
                        <w:rPr>
                          <w:rFonts w:eastAsia="黑体"/>
                          <w:b/>
                          <w:sz w:val="21"/>
                          <w:szCs w:val="21"/>
                        </w:rPr>
                      </w:pPr>
                    </w:p>
                    <w:p>
                      <w:pPr>
                        <w:pStyle w:val="38"/>
                        <w:jc w:val="center"/>
                        <w:rPr>
                          <w:rFonts w:ascii="黑体" w:eastAsia="黑体"/>
                          <w:sz w:val="21"/>
                          <w:szCs w:val="21"/>
                        </w:rPr>
                      </w:pPr>
                      <w:r>
                        <w:rPr>
                          <w:rFonts w:hint="eastAsia" w:eastAsia="黑体"/>
                          <w:b/>
                          <w:sz w:val="21"/>
                          <w:szCs w:val="21"/>
                          <w:lang w:val="en-US" w:eastAsia="zh-CN"/>
                        </w:rPr>
                        <w:t xml:space="preserve">                                                                        </w:t>
                      </w:r>
                      <w:r>
                        <w:rPr>
                          <w:rFonts w:hint="eastAsia" w:eastAsia="黑体"/>
                          <w:b/>
                          <w:sz w:val="21"/>
                          <w:szCs w:val="21"/>
                        </w:rPr>
                        <w:t>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txbxContent>
                </v:textbox>
                <w10:anchorlock/>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3" name="直线 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4" o:spid="_x0000_s1026" o:spt="20" style="position:absolute;left:0pt;margin-left:0pt;margin-top:700pt;height:0pt;width:482pt;z-index:251663360;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GrA71AAAAAoBAAAPAAAA&#10;AAAAAAEAIAAAACIAAABkcnMvZG93bnJldi54bWxQSwECFAAUAAAACACHTuJAlefEreABAADQAwAA&#10;DgAAAAAAAAABACAAAAAjAQAAZHJzL2Uyb0RvYy54bWxQSwUGAAAAAAYABgBZAQAAd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321175"/>
                <wp:effectExtent l="0" t="0" r="12700" b="3175"/>
                <wp:wrapNone/>
                <wp:docPr id="1" name="fmFrame4"/>
                <wp:cNvGraphicFramePr/>
                <a:graphic xmlns:a="http://schemas.openxmlformats.org/drawingml/2006/main">
                  <a:graphicData uri="http://schemas.microsoft.com/office/word/2010/wordprocessingShape">
                    <wps:wsp>
                      <wps:cNvSpPr txBox="1"/>
                      <wps:spPr>
                        <a:xfrm>
                          <a:off x="0" y="0"/>
                          <a:ext cx="5969000" cy="4321175"/>
                        </a:xfrm>
                        <a:prstGeom prst="rect">
                          <a:avLst/>
                        </a:prstGeom>
                        <a:solidFill>
                          <a:srgbClr val="FFFFFF"/>
                        </a:solidFill>
                        <a:ln>
                          <a:noFill/>
                        </a:ln>
                      </wps:spPr>
                      <wps:txbx>
                        <w:txbxContent>
                          <w:p>
                            <w:pPr>
                              <w:pStyle w:val="43"/>
                            </w:pPr>
                          </w:p>
                          <w:p>
                            <w:pPr>
                              <w:pStyle w:val="43"/>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网络空间安全专业人员认证规范</w:t>
                            </w:r>
                          </w:p>
                          <w:p>
                            <w:pPr>
                              <w:pStyle w:val="45"/>
                              <w:rPr>
                                <w:rFonts w:hint="eastAsia" w:ascii="黑体" w:hAnsi="黑体" w:eastAsia="黑体" w:cs="宋体"/>
                                <w:color w:val="000000" w:themeColor="text1"/>
                                <w:sz w:val="28"/>
                                <w:lang w:eastAsia="zh-CN"/>
                                <w14:textFill>
                                  <w14:solidFill>
                                    <w14:schemeClr w14:val="tx1"/>
                                  </w14:solidFill>
                                </w14:textFill>
                              </w:rPr>
                            </w:pPr>
                            <w:r>
                              <w:rPr>
                                <w:rFonts w:hint="eastAsia" w:ascii="黑体" w:hAnsi="黑体" w:eastAsia="黑体" w:cs="宋体"/>
                                <w:color w:val="000000" w:themeColor="text1"/>
                                <w:sz w:val="28"/>
                                <w:lang w:eastAsia="zh-CN"/>
                                <w14:textFill>
                                  <w14:solidFill>
                                    <w14:schemeClr w14:val="tx1"/>
                                  </w14:solidFill>
                                </w14:textFill>
                              </w:rPr>
                              <w:t>Cyberspace SecurHty ProfessHonal CertHfHcatHon SpecHfHcatHon</w:t>
                            </w:r>
                          </w:p>
                          <w:p>
                            <w:pPr>
                              <w:pStyle w:val="45"/>
                            </w:pPr>
                            <w:r>
                              <w:rPr>
                                <w:rFonts w:hint="eastAsia"/>
                              </w:rPr>
                              <w:t>（</w:t>
                            </w:r>
                            <w:r>
                              <w:rPr>
                                <w:rFonts w:hint="eastAsia"/>
                                <w:lang w:eastAsia="zh-CN"/>
                              </w:rPr>
                              <w:t>征求意见稿</w:t>
                            </w:r>
                            <w:r>
                              <w:rPr>
                                <w:rFonts w:hint="eastAsia"/>
                              </w:rPr>
                              <w:t>）</w:t>
                            </w:r>
                          </w:p>
                          <w:p>
                            <w:pPr>
                              <w:pStyle w:val="41"/>
                              <w:rPr>
                                <w:rFonts w:hint="default" w:eastAsia="宋体"/>
                                <w:lang w:val="en-US" w:eastAsia="zh-CN"/>
                              </w:rPr>
                            </w:pPr>
                            <w:r>
                              <w:rPr>
                                <w:rFonts w:hint="eastAsia"/>
                                <w:lang w:val="en-US" w:eastAsia="zh-CN"/>
                              </w:rPr>
                              <w:t>2021-8-12</w:t>
                            </w:r>
                          </w:p>
                        </w:txbxContent>
                      </wps:txbx>
                      <wps:bodyPr lIns="0" tIns="0" rIns="0" bIns="0" upright="1"/>
                    </wps:wsp>
                  </a:graphicData>
                </a:graphic>
              </wp:anchor>
            </w:drawing>
          </mc:Choice>
          <mc:Fallback>
            <w:pict>
              <v:shape id="fmFrame4" o:spid="_x0000_s1026" o:spt="202" type="#_x0000_t202" style="position:absolute;left:0pt;margin-left:0pt;margin-top:286.25pt;height:340.25pt;width:470pt;mso-position-horizontal-relative:margin;mso-position-vertical-relative:margin;z-index:251661312;mso-width-relative:page;mso-height-relative:page;" fillcolor="#FFFFFF" filled="t" stroked="f" coordsize="21600,21600" o:gfxdata="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En7/22AAAAAkBAAAPAAAAAAAAAAEAIAAAACIAAABkcnMvZG93bnJldi54bWxQ&#10;SwECFAAUAAAACACHTuJA5yS/Zb4BAACZAwAADgAAAAAAAAABACAAAAAnAQAAZHJzL2Uyb0RvYy54&#10;bWxQSwUGAAAAAAYABgBZAQAAVwUAAAAA&#10;">
                <v:fill on="t" focussize="0,0"/>
                <v:stroke on="f"/>
                <v:imagedata o:title=""/>
                <o:lock v:ext="edit" aspectratio="f"/>
                <v:textbox inset="0mm,0mm,0mm,0mm">
                  <w:txbxContent>
                    <w:p>
                      <w:pPr>
                        <w:pStyle w:val="43"/>
                      </w:pPr>
                    </w:p>
                    <w:p>
                      <w:pPr>
                        <w:pStyle w:val="43"/>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网络空间安全专业人员认证规范</w:t>
                      </w:r>
                    </w:p>
                    <w:p>
                      <w:pPr>
                        <w:pStyle w:val="45"/>
                        <w:rPr>
                          <w:rFonts w:hint="eastAsia" w:ascii="黑体" w:hAnsi="黑体" w:eastAsia="黑体" w:cs="宋体"/>
                          <w:color w:val="000000" w:themeColor="text1"/>
                          <w:sz w:val="28"/>
                          <w:lang w:eastAsia="zh-CN"/>
                          <w14:textFill>
                            <w14:solidFill>
                              <w14:schemeClr w14:val="tx1"/>
                            </w14:solidFill>
                          </w14:textFill>
                        </w:rPr>
                      </w:pPr>
                      <w:r>
                        <w:rPr>
                          <w:rFonts w:hint="eastAsia" w:ascii="黑体" w:hAnsi="黑体" w:eastAsia="黑体" w:cs="宋体"/>
                          <w:color w:val="000000" w:themeColor="text1"/>
                          <w:sz w:val="28"/>
                          <w:lang w:eastAsia="zh-CN"/>
                          <w14:textFill>
                            <w14:solidFill>
                              <w14:schemeClr w14:val="tx1"/>
                            </w14:solidFill>
                          </w14:textFill>
                        </w:rPr>
                        <w:t>Cyberspace SecurHty ProfessHonal CertHfHcatHon SpecHfHcatHon</w:t>
                      </w:r>
                    </w:p>
                    <w:p>
                      <w:pPr>
                        <w:pStyle w:val="45"/>
                      </w:pPr>
                      <w:r>
                        <w:rPr>
                          <w:rFonts w:hint="eastAsia"/>
                        </w:rPr>
                        <w:t>（</w:t>
                      </w:r>
                      <w:r>
                        <w:rPr>
                          <w:rFonts w:hint="eastAsia"/>
                          <w:lang w:eastAsia="zh-CN"/>
                        </w:rPr>
                        <w:t>征求意见稿</w:t>
                      </w:r>
                      <w:r>
                        <w:rPr>
                          <w:rFonts w:hint="eastAsia"/>
                        </w:rPr>
                        <w:t>）</w:t>
                      </w:r>
                    </w:p>
                    <w:p>
                      <w:pPr>
                        <w:pStyle w:val="41"/>
                        <w:rPr>
                          <w:rFonts w:hint="default" w:eastAsia="宋体"/>
                          <w:lang w:val="en-US" w:eastAsia="zh-CN"/>
                        </w:rPr>
                      </w:pPr>
                      <w:r>
                        <w:rPr>
                          <w:rFonts w:hint="eastAsia"/>
                          <w:lang w:val="en-US" w:eastAsia="zh-CN"/>
                        </w:rPr>
                        <w:t>2021-8-12</w:t>
                      </w:r>
                    </w:p>
                  </w:txbxContent>
                </v:textbox>
                <w10:anchorlock/>
              </v:shape>
            </w:pict>
          </mc:Fallback>
        </mc:AlternateContent>
      </w:r>
      <w:r>
        <w:rPr>
          <w:rFonts w:hint="eastAsia"/>
          <w:lang w:val="en-US" w:eastAsia="zh-CN"/>
        </w:rPr>
        <w:t>huang</w:t>
      </w:r>
    </w:p>
    <w:bookmarkEnd w:id="0"/>
    <w:sdt>
      <w:sdtPr>
        <w:rPr>
          <w:rFonts w:ascii="宋体" w:hAnsi="宋体" w:eastAsia="宋体" w:cstheme="minorBidi"/>
          <w:kern w:val="2"/>
          <w:sz w:val="21"/>
          <w:szCs w:val="24"/>
          <w:lang w:val="en-US" w:eastAsia="zh-CN" w:bidi="ar-SA"/>
        </w:rPr>
        <w:id w:val="147451544"/>
        <w15:color w:val="DBDBDB"/>
        <w:docPartObj>
          <w:docPartGallery w:val="Table of Contents"/>
          <w:docPartUnique/>
        </w:docPartObj>
      </w:sdtPr>
      <w:sdtEndPr>
        <w:rPr>
          <w:rFonts w:hint="eastAsia" w:ascii="宋体" w:hAnsi="Times New Roman" w:eastAsia="宋体" w:cs="Times New Roman"/>
          <w:kern w:val="0"/>
          <w:sz w:val="21"/>
          <w:szCs w:val="21"/>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850" w:beforeLines="0" w:after="680" w:afterLines="0" w:line="240" w:lineRule="auto"/>
            <w:ind w:left="0" w:leftChars="0" w:right="0" w:rightChars="0" w:firstLine="0" w:firstLineChars="0"/>
            <w:jc w:val="center"/>
            <w:textAlignment w:val="auto"/>
            <w:rPr>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szCs w:val="21"/>
            </w:rPr>
            <w:fldChar w:fldCharType="begin"/>
          </w:r>
          <w:r>
            <w:rPr>
              <w:rFonts w:hint="eastAsia"/>
              <w:szCs w:val="21"/>
            </w:rPr>
            <w:instrText xml:space="preserve">TOC \o "1-3" \h \u </w:instrText>
          </w:r>
          <w:r>
            <w:rPr>
              <w:rFonts w:hint="eastAsia"/>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_Toc3919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_Toc3919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_Toc28064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_Toc28064 \h </w:instrText>
          </w:r>
          <w:r>
            <w:rPr>
              <w:rFonts w:hint="eastAsia" w:ascii="宋体" w:hAnsi="宋体" w:eastAsia="宋体" w:cs="宋体"/>
              <w:sz w:val="21"/>
              <w:szCs w:val="21"/>
            </w:rPr>
            <w:fldChar w:fldCharType="separate"/>
          </w:r>
          <w:r>
            <w:rPr>
              <w:rFonts w:hint="eastAsia" w:ascii="宋体" w:hAnsi="宋体" w:eastAsia="宋体" w:cs="宋体"/>
              <w:sz w:val="21"/>
              <w:szCs w:val="21"/>
            </w:rPr>
            <w:t>IV</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_Toc10657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1. 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_Toc10657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_Toc29009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2. 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_Toc29009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_Toc22517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3. 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_Toc22517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_Toc14298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4. 认证类别、专业方向及级别划分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_Toc14298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_Toc10105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4.1 认证类别</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_Toc10105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_Toc23963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4.2 级别划分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_Toc23963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_Toc20007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5. 认证通用要求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_Toc20007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_Toc7648 </w:instrText>
          </w:r>
          <w:r>
            <w:rPr>
              <w:rFonts w:hint="eastAsia" w:ascii="宋体" w:hAnsi="宋体" w:eastAsia="宋体" w:cs="宋体"/>
              <w:sz w:val="21"/>
              <w:szCs w:val="21"/>
            </w:rPr>
            <w:fldChar w:fldCharType="separate"/>
          </w:r>
          <w:r>
            <w:rPr>
              <w:rFonts w:hint="eastAsia" w:ascii="宋体" w:hAnsi="宋体" w:eastAsia="宋体" w:cs="宋体"/>
              <w:bCs w:val="0"/>
              <w:sz w:val="21"/>
              <w:szCs w:val="21"/>
            </w:rPr>
            <w:t>5.1 基本要求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_Toc7648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_Toc31755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5.2 初次申请资格要求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_Toc31755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_Toc27551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5.3 再认证资格要求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_Toc27551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_Toc1564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5.4 认证升级资格要求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_Toc1564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_Toc27224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 认证评价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_Toc27224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_Toc27264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6.1 认证评价方式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_Toc27264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_Toc19363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 </w:t>
          </w:r>
          <w:r>
            <w:rPr>
              <w:rFonts w:hint="eastAsia" w:ascii="宋体" w:hAnsi="宋体" w:eastAsia="宋体" w:cs="宋体"/>
              <w:bCs w:val="0"/>
              <w:sz w:val="21"/>
              <w:szCs w:val="21"/>
            </w:rPr>
            <w:t xml:space="preserve">6.2 </w:t>
          </w:r>
          <w:r>
            <w:rPr>
              <w:rFonts w:hint="eastAsia" w:ascii="宋体" w:hAnsi="宋体" w:eastAsia="宋体" w:cs="宋体"/>
              <w:bCs w:val="0"/>
              <w:kern w:val="44"/>
              <w:sz w:val="21"/>
              <w:szCs w:val="21"/>
            </w:rPr>
            <w:t>书面考试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_Toc19363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_Toc2777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6.3 书面评价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_Toc2777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_Toc20235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6.5 认证批准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_Toc20235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_Toc16361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6.6 颁发证书与公告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_Toc16361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_Toc11297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6.7 年度确认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_Toc11297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_Toc1389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6.8 再注册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_Toc1389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_Toc20573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6.9 变更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_Toc20573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8"/>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_Toc6406 </w:instrText>
          </w:r>
          <w:r>
            <w:rPr>
              <w:rFonts w:hint="eastAsia" w:ascii="宋体" w:hAnsi="宋体" w:eastAsia="宋体" w:cs="宋体"/>
              <w:sz w:val="21"/>
              <w:szCs w:val="21"/>
            </w:rPr>
            <w:fldChar w:fldCharType="separate"/>
          </w:r>
          <w:r>
            <w:rPr>
              <w:rFonts w:hint="eastAsia" w:ascii="宋体" w:hAnsi="宋体" w:eastAsia="宋体" w:cs="宋体"/>
              <w:bCs w:val="0"/>
              <w:kern w:val="44"/>
              <w:sz w:val="21"/>
              <w:szCs w:val="21"/>
            </w:rPr>
            <w:t>6.10暂停、恢复、撤销和注销认证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_Toc6406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_Toc12037 </w:instrText>
          </w:r>
          <w:r>
            <w:rPr>
              <w:rFonts w:hint="eastAsia" w:ascii="宋体" w:hAnsi="宋体" w:eastAsia="宋体" w:cs="宋体"/>
              <w:sz w:val="21"/>
              <w:szCs w:val="21"/>
            </w:rPr>
            <w:fldChar w:fldCharType="separate"/>
          </w:r>
          <w:r>
            <w:rPr>
              <w:rFonts w:hint="eastAsia" w:ascii="宋体" w:hAnsi="宋体" w:eastAsia="宋体" w:cs="宋体"/>
              <w:bCs w:val="0"/>
              <w:sz w:val="21"/>
              <w:szCs w:val="21"/>
            </w:rPr>
            <w:t>附</w:t>
          </w:r>
          <w:r>
            <w:rPr>
              <w:rFonts w:hint="eastAsia" w:ascii="宋体" w:hAnsi="宋体" w:eastAsia="宋体" w:cs="宋体"/>
              <w:bCs w:val="0"/>
              <w:sz w:val="21"/>
              <w:szCs w:val="21"/>
              <w:lang w:val="en-US" w:eastAsia="zh-CN"/>
            </w:rPr>
            <w:t xml:space="preserve"> </w:t>
          </w:r>
          <w:r>
            <w:rPr>
              <w:rFonts w:hint="eastAsia" w:ascii="宋体" w:hAnsi="宋体" w:eastAsia="宋体" w:cs="宋体"/>
              <w:bCs w:val="0"/>
              <w:sz w:val="21"/>
              <w:szCs w:val="21"/>
            </w:rPr>
            <w:t>录</w:t>
          </w:r>
          <w:r>
            <w:rPr>
              <w:rFonts w:hint="eastAsia" w:ascii="宋体" w:hAnsi="宋体" w:eastAsia="宋体" w:cs="宋体"/>
              <w:bCs w:val="0"/>
              <w:sz w:val="21"/>
              <w:szCs w:val="21"/>
              <w:lang w:val="en-US" w:eastAsia="zh-CN"/>
            </w:rPr>
            <w:t xml:space="preserve"> </w:t>
          </w:r>
          <w:r>
            <w:rPr>
              <w:rFonts w:hint="eastAsia" w:ascii="宋体" w:hAnsi="宋体" w:eastAsia="宋体" w:cs="宋体"/>
              <w:bCs w:val="0"/>
              <w:sz w:val="21"/>
              <w:szCs w:val="21"/>
            </w:rPr>
            <w:t>A</w:t>
          </w:r>
          <w:r>
            <w:rPr>
              <w:rFonts w:hint="eastAsia" w:ascii="宋体" w:hAnsi="宋体" w:eastAsia="宋体" w:cs="宋体"/>
              <w:bCs w:val="0"/>
              <w:sz w:val="21"/>
              <w:szCs w:val="21"/>
              <w:lang w:val="en-US" w:eastAsia="zh-CN"/>
            </w:rPr>
            <w:t xml:space="preserve">(资料性) </w:t>
          </w:r>
          <w:r>
            <w:rPr>
              <w:rFonts w:hint="eastAsia" w:ascii="宋体" w:hAnsi="宋体" w:cs="宋体"/>
              <w:bCs w:val="0"/>
              <w:sz w:val="21"/>
              <w:szCs w:val="21"/>
              <w:lang w:val="en-US" w:eastAsia="zh-CN"/>
            </w:rPr>
            <w:t xml:space="preserve">  </w:t>
          </w:r>
          <w:r>
            <w:rPr>
              <w:rFonts w:hint="eastAsia" w:ascii="宋体" w:hAnsi="宋体" w:eastAsia="宋体" w:cs="宋体"/>
              <w:bCs w:val="0"/>
              <w:sz w:val="21"/>
              <w:szCs w:val="21"/>
            </w:rPr>
            <w:t>网络空间安全专业人员认证分类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_Toc12037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_Toc11050 </w:instrText>
          </w:r>
          <w:r>
            <w:rPr>
              <w:rFonts w:hint="eastAsia" w:ascii="宋体" w:hAnsi="宋体" w:eastAsia="宋体" w:cs="宋体"/>
              <w:sz w:val="21"/>
              <w:szCs w:val="21"/>
            </w:rPr>
            <w:fldChar w:fldCharType="separate"/>
          </w:r>
          <w:r>
            <w:rPr>
              <w:rFonts w:hint="eastAsia" w:ascii="宋体" w:hAnsi="宋体" w:eastAsia="宋体" w:cs="宋体"/>
              <w:bCs w:val="0"/>
              <w:sz w:val="21"/>
              <w:szCs w:val="21"/>
            </w:rPr>
            <w:t>附</w:t>
          </w:r>
          <w:r>
            <w:rPr>
              <w:rFonts w:hint="eastAsia" w:ascii="宋体" w:hAnsi="宋体" w:eastAsia="宋体" w:cs="宋体"/>
              <w:bCs w:val="0"/>
              <w:sz w:val="21"/>
              <w:szCs w:val="21"/>
              <w:lang w:val="en-US" w:eastAsia="zh-CN"/>
            </w:rPr>
            <w:t xml:space="preserve"> </w:t>
          </w:r>
          <w:r>
            <w:rPr>
              <w:rFonts w:hint="eastAsia" w:ascii="宋体" w:hAnsi="宋体" w:eastAsia="宋体" w:cs="宋体"/>
              <w:bCs w:val="0"/>
              <w:sz w:val="21"/>
              <w:szCs w:val="21"/>
            </w:rPr>
            <w:t>录</w:t>
          </w:r>
          <w:r>
            <w:rPr>
              <w:rFonts w:hint="eastAsia" w:ascii="宋体" w:hAnsi="宋体" w:eastAsia="宋体" w:cs="宋体"/>
              <w:bCs w:val="0"/>
              <w:sz w:val="21"/>
              <w:szCs w:val="21"/>
              <w:lang w:val="en-US" w:eastAsia="zh-CN"/>
            </w:rPr>
            <w:t xml:space="preserve"> </w:t>
          </w:r>
          <w:r>
            <w:rPr>
              <w:rFonts w:hint="eastAsia" w:ascii="宋体" w:hAnsi="宋体" w:eastAsia="宋体" w:cs="宋体"/>
              <w:bCs w:val="0"/>
              <w:sz w:val="21"/>
              <w:szCs w:val="21"/>
            </w:rPr>
            <w:t>B</w:t>
          </w:r>
          <w:r>
            <w:rPr>
              <w:rFonts w:hint="eastAsia" w:ascii="宋体" w:hAnsi="宋体" w:eastAsia="宋体" w:cs="宋体"/>
              <w:bCs w:val="0"/>
              <w:sz w:val="21"/>
              <w:szCs w:val="21"/>
              <w:lang w:eastAsia="zh-CN"/>
            </w:rPr>
            <w:t>（规范性）</w:t>
          </w:r>
          <w:r>
            <w:rPr>
              <w:rFonts w:hint="eastAsia" w:ascii="宋体" w:hAnsi="宋体" w:cs="宋体"/>
              <w:bCs w:val="0"/>
              <w:sz w:val="21"/>
              <w:szCs w:val="21"/>
              <w:lang w:val="en-US" w:eastAsia="zh-CN"/>
            </w:rPr>
            <w:t xml:space="preserve"> </w:t>
          </w:r>
          <w:r>
            <w:rPr>
              <w:rFonts w:hint="eastAsia" w:ascii="宋体" w:hAnsi="宋体" w:eastAsia="宋体" w:cs="宋体"/>
              <w:bCs w:val="0"/>
              <w:sz w:val="21"/>
              <w:szCs w:val="21"/>
            </w:rPr>
            <w:t>通用基础知识考试大纲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_Toc11050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_Toc5417 </w:instrText>
          </w:r>
          <w:r>
            <w:rPr>
              <w:rFonts w:hint="eastAsia" w:ascii="宋体" w:hAnsi="宋体" w:eastAsia="宋体" w:cs="宋体"/>
              <w:sz w:val="21"/>
              <w:szCs w:val="21"/>
            </w:rPr>
            <w:fldChar w:fldCharType="separate"/>
          </w:r>
          <w:r>
            <w:rPr>
              <w:rFonts w:hint="eastAsia" w:ascii="宋体" w:hAnsi="宋体" w:eastAsia="宋体" w:cs="宋体"/>
              <w:sz w:val="21"/>
              <w:szCs w:val="21"/>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w:t>
          </w:r>
          <w:r>
            <w:rPr>
              <w:rFonts w:hint="eastAsia" w:ascii="宋体" w:hAnsi="宋体" w:eastAsia="宋体" w:cs="宋体"/>
              <w:sz w:val="21"/>
              <w:szCs w:val="21"/>
              <w:lang w:eastAsia="zh-CN"/>
            </w:rPr>
            <w:t>（规范性）</w:t>
          </w:r>
          <w:r>
            <w:rPr>
              <w:rFonts w:hint="eastAsia" w:ascii="宋体" w:hAnsi="宋体" w:cs="宋体"/>
              <w:sz w:val="21"/>
              <w:szCs w:val="21"/>
              <w:lang w:val="en-US" w:eastAsia="zh-CN"/>
            </w:rPr>
            <w:t xml:space="preserve"> </w:t>
          </w:r>
          <w:r>
            <w:rPr>
              <w:rFonts w:hint="eastAsia" w:ascii="宋体" w:hAnsi="宋体" w:eastAsia="宋体" w:cs="宋体"/>
              <w:sz w:val="21"/>
              <w:szCs w:val="21"/>
            </w:rPr>
            <w:t>网络安全风险管理考试大纲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_Toc5417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_Toc14801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附</w:t>
          </w:r>
          <w:r>
            <w:rPr>
              <w:rFonts w:hint="eastAsia" w:ascii="宋体" w:hAnsi="宋体" w:eastAsia="宋体" w:cs="宋体"/>
              <w:bCs w:val="0"/>
              <w:kern w:val="0"/>
              <w:sz w:val="21"/>
              <w:szCs w:val="21"/>
              <w:lang w:val="en-US" w:eastAsia="zh-CN"/>
            </w:rPr>
            <w:t xml:space="preserve"> </w:t>
          </w:r>
          <w:r>
            <w:rPr>
              <w:rFonts w:hint="eastAsia" w:ascii="宋体" w:hAnsi="宋体" w:eastAsia="宋体" w:cs="宋体"/>
              <w:bCs w:val="0"/>
              <w:kern w:val="0"/>
              <w:sz w:val="21"/>
              <w:szCs w:val="21"/>
            </w:rPr>
            <w:t>录</w:t>
          </w:r>
          <w:r>
            <w:rPr>
              <w:rFonts w:hint="eastAsia" w:ascii="宋体" w:hAnsi="宋体" w:eastAsia="宋体" w:cs="宋体"/>
              <w:bCs w:val="0"/>
              <w:kern w:val="0"/>
              <w:sz w:val="21"/>
              <w:szCs w:val="21"/>
              <w:lang w:val="en-US" w:eastAsia="zh-CN"/>
            </w:rPr>
            <w:t xml:space="preserve"> </w:t>
          </w:r>
          <w:r>
            <w:rPr>
              <w:rFonts w:hint="eastAsia" w:ascii="宋体" w:hAnsi="宋体" w:eastAsia="宋体" w:cs="宋体"/>
              <w:bCs w:val="0"/>
              <w:kern w:val="0"/>
              <w:sz w:val="21"/>
              <w:szCs w:val="21"/>
            </w:rPr>
            <w:t>D</w:t>
          </w:r>
          <w:r>
            <w:rPr>
              <w:rFonts w:hint="eastAsia" w:ascii="宋体" w:hAnsi="宋体" w:eastAsia="宋体" w:cs="宋体"/>
              <w:bCs w:val="0"/>
              <w:kern w:val="0"/>
              <w:sz w:val="21"/>
              <w:szCs w:val="21"/>
              <w:lang w:eastAsia="zh-CN"/>
            </w:rPr>
            <w:t>（规范性）</w:t>
          </w:r>
          <w:r>
            <w:rPr>
              <w:rFonts w:hint="eastAsia" w:ascii="宋体" w:hAnsi="宋体" w:cs="宋体"/>
              <w:bCs w:val="0"/>
              <w:kern w:val="0"/>
              <w:sz w:val="21"/>
              <w:szCs w:val="21"/>
              <w:lang w:val="en-US" w:eastAsia="zh-CN"/>
            </w:rPr>
            <w:t xml:space="preserve"> </w:t>
          </w:r>
          <w:r>
            <w:rPr>
              <w:rFonts w:hint="eastAsia" w:ascii="宋体" w:hAnsi="宋体" w:eastAsia="宋体" w:cs="宋体"/>
              <w:bCs w:val="0"/>
              <w:kern w:val="0"/>
              <w:sz w:val="21"/>
              <w:szCs w:val="21"/>
            </w:rPr>
            <w:t>物联网安全考试大纲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_Toc14801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_Toc24981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附</w:t>
          </w:r>
          <w:r>
            <w:rPr>
              <w:rFonts w:hint="eastAsia" w:ascii="宋体" w:hAnsi="宋体" w:eastAsia="宋体" w:cs="宋体"/>
              <w:bCs w:val="0"/>
              <w:kern w:val="0"/>
              <w:sz w:val="21"/>
              <w:szCs w:val="21"/>
              <w:lang w:val="en-US" w:eastAsia="zh-CN"/>
            </w:rPr>
            <w:t xml:space="preserve"> </w:t>
          </w:r>
          <w:r>
            <w:rPr>
              <w:rFonts w:hint="eastAsia" w:ascii="宋体" w:hAnsi="宋体" w:eastAsia="宋体" w:cs="宋体"/>
              <w:bCs w:val="0"/>
              <w:kern w:val="0"/>
              <w:sz w:val="21"/>
              <w:szCs w:val="21"/>
            </w:rPr>
            <w:t>录</w:t>
          </w:r>
          <w:r>
            <w:rPr>
              <w:rFonts w:hint="eastAsia" w:ascii="宋体" w:hAnsi="宋体" w:eastAsia="宋体" w:cs="宋体"/>
              <w:bCs w:val="0"/>
              <w:kern w:val="0"/>
              <w:sz w:val="21"/>
              <w:szCs w:val="21"/>
              <w:lang w:val="en-US" w:eastAsia="zh-CN"/>
            </w:rPr>
            <w:t xml:space="preserve"> </w:t>
          </w:r>
          <w:r>
            <w:rPr>
              <w:rFonts w:hint="eastAsia" w:ascii="宋体" w:hAnsi="宋体" w:eastAsia="宋体" w:cs="宋体"/>
              <w:bCs w:val="0"/>
              <w:kern w:val="0"/>
              <w:sz w:val="21"/>
              <w:szCs w:val="21"/>
            </w:rPr>
            <w:t>E</w:t>
          </w:r>
          <w:r>
            <w:rPr>
              <w:rFonts w:hint="eastAsia" w:ascii="宋体" w:hAnsi="宋体" w:eastAsia="宋体" w:cs="宋体"/>
              <w:bCs w:val="0"/>
              <w:kern w:val="0"/>
              <w:sz w:val="21"/>
              <w:szCs w:val="21"/>
              <w:lang w:eastAsia="zh-CN"/>
            </w:rPr>
            <w:t>（规范性）</w:t>
          </w:r>
          <w:r>
            <w:rPr>
              <w:rFonts w:hint="eastAsia" w:ascii="宋体" w:hAnsi="宋体" w:cs="宋体"/>
              <w:bCs w:val="0"/>
              <w:kern w:val="0"/>
              <w:sz w:val="21"/>
              <w:szCs w:val="21"/>
              <w:lang w:val="en-US" w:eastAsia="zh-CN"/>
            </w:rPr>
            <w:t xml:space="preserve"> </w:t>
          </w:r>
          <w:r>
            <w:rPr>
              <w:rFonts w:hint="eastAsia" w:ascii="宋体" w:hAnsi="宋体" w:eastAsia="宋体" w:cs="宋体"/>
              <w:bCs w:val="0"/>
              <w:kern w:val="0"/>
              <w:sz w:val="21"/>
              <w:szCs w:val="21"/>
            </w:rPr>
            <w:t>云计算</w:t>
          </w:r>
          <w:r>
            <w:rPr>
              <w:rFonts w:hint="eastAsia" w:ascii="宋体" w:hAnsi="宋体" w:eastAsia="宋体" w:cs="宋体"/>
              <w:bCs w:val="0"/>
              <w:kern w:val="0"/>
              <w:sz w:val="21"/>
              <w:szCs w:val="21"/>
              <w:lang w:eastAsia="zh-CN"/>
            </w:rPr>
            <w:t>安全</w:t>
          </w:r>
          <w:r>
            <w:rPr>
              <w:rFonts w:hint="eastAsia" w:ascii="宋体" w:hAnsi="宋体" w:eastAsia="宋体" w:cs="宋体"/>
              <w:bCs w:val="0"/>
              <w:kern w:val="0"/>
              <w:sz w:val="21"/>
              <w:szCs w:val="21"/>
            </w:rPr>
            <w:t>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_Toc24981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_Toc17135 </w:instrText>
          </w:r>
          <w:r>
            <w:rPr>
              <w:rFonts w:hint="eastAsia" w:ascii="宋体" w:hAnsi="宋体" w:eastAsia="宋体" w:cs="宋体"/>
              <w:sz w:val="21"/>
              <w:szCs w:val="21"/>
            </w:rPr>
            <w:fldChar w:fldCharType="separate"/>
          </w:r>
          <w:r>
            <w:rPr>
              <w:rFonts w:hint="eastAsia" w:ascii="宋体" w:hAnsi="宋体" w:eastAsia="宋体" w:cs="宋体"/>
              <w:bCs w:val="0"/>
              <w:kern w:val="0"/>
              <w:sz w:val="21"/>
              <w:szCs w:val="21"/>
            </w:rPr>
            <w:t>附</w:t>
          </w:r>
          <w:r>
            <w:rPr>
              <w:rFonts w:hint="eastAsia" w:ascii="宋体" w:hAnsi="宋体" w:eastAsia="宋体" w:cs="宋体"/>
              <w:bCs w:val="0"/>
              <w:kern w:val="0"/>
              <w:sz w:val="21"/>
              <w:szCs w:val="21"/>
              <w:lang w:val="en-US" w:eastAsia="zh-CN"/>
            </w:rPr>
            <w:t xml:space="preserve"> </w:t>
          </w:r>
          <w:r>
            <w:rPr>
              <w:rFonts w:hint="eastAsia" w:ascii="宋体" w:hAnsi="宋体" w:eastAsia="宋体" w:cs="宋体"/>
              <w:bCs w:val="0"/>
              <w:kern w:val="0"/>
              <w:sz w:val="21"/>
              <w:szCs w:val="21"/>
            </w:rPr>
            <w:t>录</w:t>
          </w:r>
          <w:r>
            <w:rPr>
              <w:rFonts w:hint="eastAsia" w:ascii="宋体" w:hAnsi="宋体" w:eastAsia="宋体" w:cs="宋体"/>
              <w:bCs w:val="0"/>
              <w:kern w:val="0"/>
              <w:sz w:val="21"/>
              <w:szCs w:val="21"/>
              <w:lang w:val="en-US" w:eastAsia="zh-CN"/>
            </w:rPr>
            <w:t xml:space="preserve"> F</w:t>
          </w:r>
          <w:r>
            <w:rPr>
              <w:rFonts w:hint="eastAsia" w:ascii="宋体" w:hAnsi="宋体" w:eastAsia="宋体" w:cs="宋体"/>
              <w:bCs w:val="0"/>
              <w:kern w:val="0"/>
              <w:sz w:val="21"/>
              <w:szCs w:val="21"/>
              <w:lang w:eastAsia="zh-CN"/>
            </w:rPr>
            <w:t>（规范性）</w:t>
          </w:r>
          <w:r>
            <w:rPr>
              <w:rFonts w:hint="eastAsia" w:ascii="宋体" w:hAnsi="宋体" w:cs="宋体"/>
              <w:bCs w:val="0"/>
              <w:kern w:val="0"/>
              <w:sz w:val="21"/>
              <w:szCs w:val="21"/>
              <w:lang w:val="en-US" w:eastAsia="zh-CN"/>
            </w:rPr>
            <w:t xml:space="preserve"> </w:t>
          </w:r>
          <w:r>
            <w:rPr>
              <w:rFonts w:hint="eastAsia" w:ascii="宋体" w:hAnsi="宋体" w:eastAsia="宋体" w:cs="宋体"/>
              <w:bCs w:val="0"/>
              <w:kern w:val="0"/>
              <w:sz w:val="21"/>
              <w:szCs w:val="21"/>
            </w:rPr>
            <w:t>网络安全规划设计方向考试大纲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_Toc17135 \h </w:instrText>
          </w:r>
          <w:r>
            <w:rPr>
              <w:rFonts w:hint="eastAsia" w:ascii="宋体" w:hAnsi="宋体" w:eastAsia="宋体" w:cs="宋体"/>
              <w:sz w:val="21"/>
              <w:szCs w:val="21"/>
            </w:rPr>
            <w:fldChar w:fldCharType="separate"/>
          </w:r>
          <w:r>
            <w:rPr>
              <w:rFonts w:hint="eastAsia" w:ascii="宋体" w:hAnsi="宋体" w:eastAsia="宋体" w:cs="宋体"/>
              <w:sz w:val="21"/>
              <w:szCs w:val="21"/>
            </w:rPr>
            <w:t>24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_Toc7828 </w:instrText>
          </w:r>
          <w:r>
            <w:rPr>
              <w:rFonts w:hint="eastAsia" w:ascii="宋体" w:hAnsi="宋体" w:eastAsia="宋体" w:cs="宋体"/>
              <w:sz w:val="21"/>
              <w:szCs w:val="21"/>
            </w:rPr>
            <w:fldChar w:fldCharType="separate"/>
          </w:r>
          <w:r>
            <w:rPr>
              <w:rFonts w:hint="eastAsia" w:ascii="宋体" w:hAnsi="宋体" w:eastAsia="宋体" w:cs="宋体"/>
              <w:bCs w:val="0"/>
              <w:sz w:val="21"/>
              <w:szCs w:val="21"/>
            </w:rPr>
            <w:t>附</w:t>
          </w:r>
          <w:r>
            <w:rPr>
              <w:rFonts w:hint="eastAsia" w:ascii="宋体" w:hAnsi="宋体" w:eastAsia="宋体" w:cs="宋体"/>
              <w:bCs w:val="0"/>
              <w:sz w:val="21"/>
              <w:szCs w:val="21"/>
              <w:lang w:val="en-US" w:eastAsia="zh-CN"/>
            </w:rPr>
            <w:t xml:space="preserve"> </w:t>
          </w:r>
          <w:r>
            <w:rPr>
              <w:rFonts w:hint="eastAsia" w:ascii="宋体" w:hAnsi="宋体" w:eastAsia="宋体" w:cs="宋体"/>
              <w:bCs w:val="0"/>
              <w:sz w:val="21"/>
              <w:szCs w:val="21"/>
            </w:rPr>
            <w:t>录</w:t>
          </w:r>
          <w:r>
            <w:rPr>
              <w:rFonts w:hint="eastAsia" w:ascii="宋体" w:hAnsi="宋体" w:eastAsia="宋体" w:cs="宋体"/>
              <w:bCs w:val="0"/>
              <w:sz w:val="21"/>
              <w:szCs w:val="21"/>
              <w:lang w:val="en-US" w:eastAsia="zh-CN"/>
            </w:rPr>
            <w:t xml:space="preserve"> G（规范性）</w:t>
          </w:r>
          <w:r>
            <w:rPr>
              <w:rFonts w:hint="eastAsia" w:ascii="宋体" w:hAnsi="宋体" w:cs="宋体"/>
              <w:bCs w:val="0"/>
              <w:sz w:val="21"/>
              <w:szCs w:val="21"/>
              <w:lang w:val="en-US" w:eastAsia="zh-CN"/>
            </w:rPr>
            <w:t xml:space="preserve"> </w:t>
          </w:r>
          <w:r>
            <w:rPr>
              <w:rFonts w:hint="eastAsia" w:ascii="宋体" w:hAnsi="宋体" w:eastAsia="宋体" w:cs="宋体"/>
              <w:bCs w:val="0"/>
              <w:sz w:val="21"/>
              <w:szCs w:val="21"/>
            </w:rPr>
            <w:t>信息系统安全运维人员考试大纲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_Toc7828 \h </w:instrText>
          </w:r>
          <w:r>
            <w:rPr>
              <w:rFonts w:hint="eastAsia" w:ascii="宋体" w:hAnsi="宋体" w:eastAsia="宋体" w:cs="宋体"/>
              <w:sz w:val="21"/>
              <w:szCs w:val="21"/>
            </w:rPr>
            <w:fldChar w:fldCharType="separate"/>
          </w:r>
          <w:r>
            <w:rPr>
              <w:rFonts w:hint="eastAsia" w:ascii="宋体" w:hAnsi="宋体" w:eastAsia="宋体" w:cs="宋体"/>
              <w:sz w:val="21"/>
              <w:szCs w:val="21"/>
            </w:rPr>
            <w:t>27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_Toc3638 </w:instrText>
          </w:r>
          <w:r>
            <w:rPr>
              <w:rFonts w:hint="eastAsia" w:ascii="宋体" w:hAnsi="宋体" w:eastAsia="宋体" w:cs="宋体"/>
              <w:sz w:val="21"/>
              <w:szCs w:val="21"/>
            </w:rPr>
            <w:fldChar w:fldCharType="separate"/>
          </w:r>
          <w:r>
            <w:rPr>
              <w:rFonts w:hint="eastAsia" w:ascii="宋体" w:hAnsi="宋体" w:eastAsia="宋体" w:cs="宋体"/>
              <w:sz w:val="21"/>
              <w:szCs w:val="21"/>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录</w:t>
          </w:r>
          <w:r>
            <w:rPr>
              <w:rFonts w:hint="eastAsia" w:ascii="宋体" w:hAnsi="宋体" w:eastAsia="宋体" w:cs="宋体"/>
              <w:sz w:val="21"/>
              <w:szCs w:val="21"/>
              <w:lang w:val="en-US" w:eastAsia="zh-CN"/>
            </w:rPr>
            <w:t>H（规范性）</w:t>
          </w:r>
          <w:r>
            <w:rPr>
              <w:rFonts w:hint="eastAsia" w:ascii="宋体" w:hAnsi="宋体" w:cs="宋体"/>
              <w:sz w:val="21"/>
              <w:szCs w:val="21"/>
              <w:lang w:val="en-US" w:eastAsia="zh-CN"/>
            </w:rPr>
            <w:t xml:space="preserve">  </w:t>
          </w:r>
          <w:r>
            <w:rPr>
              <w:rFonts w:hint="eastAsia" w:ascii="宋体" w:hAnsi="宋体" w:eastAsia="宋体" w:cs="宋体"/>
              <w:sz w:val="21"/>
              <w:szCs w:val="21"/>
            </w:rPr>
            <w:t>软件安全开发方向考试大纲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_Toc3638 \h </w:instrText>
          </w:r>
          <w:r>
            <w:rPr>
              <w:rFonts w:hint="eastAsia" w:ascii="宋体" w:hAnsi="宋体" w:eastAsia="宋体" w:cs="宋体"/>
              <w:sz w:val="21"/>
              <w:szCs w:val="21"/>
            </w:rPr>
            <w:fldChar w:fldCharType="separate"/>
          </w:r>
          <w:r>
            <w:rPr>
              <w:rFonts w:hint="eastAsia" w:ascii="宋体" w:hAnsi="宋体" w:eastAsia="宋体" w:cs="宋体"/>
              <w:sz w:val="21"/>
              <w:szCs w:val="21"/>
            </w:rPr>
            <w:t>30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_Toc32625 </w:instrText>
          </w:r>
          <w:r>
            <w:rPr>
              <w:rFonts w:hint="eastAsia" w:ascii="宋体" w:hAnsi="宋体" w:eastAsia="宋体" w:cs="宋体"/>
              <w:sz w:val="21"/>
              <w:szCs w:val="21"/>
            </w:rPr>
            <w:fldChar w:fldCharType="separate"/>
          </w:r>
          <w:r>
            <w:rPr>
              <w:rFonts w:hint="eastAsia" w:ascii="宋体" w:hAnsi="宋体" w:eastAsia="宋体" w:cs="宋体"/>
              <w:sz w:val="21"/>
              <w:szCs w:val="21"/>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录</w:t>
          </w:r>
          <w:r>
            <w:rPr>
              <w:rFonts w:hint="eastAsia" w:ascii="宋体" w:hAnsi="宋体" w:eastAsia="宋体" w:cs="宋体"/>
              <w:sz w:val="21"/>
              <w:szCs w:val="21"/>
              <w:lang w:val="en-US" w:eastAsia="zh-CN"/>
            </w:rPr>
            <w:t xml:space="preserve"> I(规范性)</w:t>
          </w:r>
          <w:r>
            <w:rPr>
              <w:rFonts w:hint="eastAsia" w:ascii="宋体" w:hAnsi="宋体" w:cs="宋体"/>
              <w:sz w:val="21"/>
              <w:szCs w:val="21"/>
              <w:lang w:val="en-US" w:eastAsia="zh-CN"/>
            </w:rPr>
            <w:t xml:space="preserve">   </w:t>
          </w:r>
          <w:r>
            <w:rPr>
              <w:rFonts w:hint="eastAsia" w:ascii="宋体" w:hAnsi="宋体" w:eastAsia="宋体" w:cs="宋体"/>
              <w:sz w:val="21"/>
              <w:szCs w:val="21"/>
            </w:rPr>
            <w:t>网络安全应急响应方向考试大纲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_Toc32625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_Toc16238 </w:instrText>
          </w:r>
          <w:r>
            <w:rPr>
              <w:rFonts w:hint="eastAsia" w:ascii="宋体" w:hAnsi="宋体" w:eastAsia="宋体" w:cs="宋体"/>
              <w:sz w:val="21"/>
              <w:szCs w:val="21"/>
            </w:rPr>
            <w:fldChar w:fldCharType="separate"/>
          </w:r>
          <w:r>
            <w:rPr>
              <w:rFonts w:hint="eastAsia" w:ascii="宋体" w:hAnsi="宋体" w:eastAsia="宋体" w:cs="宋体"/>
              <w:sz w:val="21"/>
              <w:szCs w:val="21"/>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录</w:t>
          </w:r>
          <w:r>
            <w:rPr>
              <w:rFonts w:hint="eastAsia" w:ascii="宋体" w:hAnsi="宋体" w:eastAsia="宋体" w:cs="宋体"/>
              <w:sz w:val="21"/>
              <w:szCs w:val="21"/>
              <w:lang w:val="en-US" w:eastAsia="zh-CN"/>
            </w:rPr>
            <w:t xml:space="preserve"> J(规范性)</w:t>
          </w:r>
          <w:r>
            <w:rPr>
              <w:rFonts w:hint="eastAsia" w:ascii="宋体" w:hAnsi="宋体" w:cs="宋体"/>
              <w:sz w:val="21"/>
              <w:szCs w:val="21"/>
              <w:lang w:val="en-US" w:eastAsia="zh-CN"/>
            </w:rPr>
            <w:t xml:space="preserve">   </w:t>
          </w:r>
          <w:r>
            <w:rPr>
              <w:rFonts w:hint="eastAsia" w:ascii="宋体" w:hAnsi="宋体" w:eastAsia="宋体" w:cs="宋体"/>
              <w:sz w:val="21"/>
              <w:szCs w:val="21"/>
            </w:rPr>
            <w:t>信息</w:t>
          </w:r>
          <w:r>
            <w:rPr>
              <w:rFonts w:hint="eastAsia" w:ascii="宋体" w:hAnsi="宋体" w:eastAsia="宋体" w:cs="宋体"/>
              <w:sz w:val="21"/>
              <w:szCs w:val="21"/>
              <w:lang w:eastAsia="zh-CN"/>
            </w:rPr>
            <w:t>系统安全</w:t>
          </w:r>
          <w:r>
            <w:rPr>
              <w:rFonts w:hint="eastAsia" w:ascii="宋体" w:hAnsi="宋体" w:eastAsia="宋体" w:cs="宋体"/>
              <w:sz w:val="21"/>
              <w:szCs w:val="21"/>
            </w:rPr>
            <w:t>集成方向考试大纲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_Toc16238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_Toc16238 </w:instrText>
          </w:r>
          <w:r>
            <w:rPr>
              <w:rFonts w:hint="eastAsia" w:ascii="宋体" w:hAnsi="宋体" w:eastAsia="宋体" w:cs="宋体"/>
              <w:sz w:val="21"/>
              <w:szCs w:val="21"/>
            </w:rPr>
            <w:fldChar w:fldCharType="separate"/>
          </w:r>
          <w:r>
            <w:rPr>
              <w:rFonts w:hint="eastAsia" w:ascii="宋体" w:hAnsi="宋体" w:cs="宋体"/>
              <w:sz w:val="21"/>
              <w:szCs w:val="21"/>
              <w:lang w:eastAsia="zh-CN"/>
            </w:rPr>
            <w:t>参考文献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_Toc16238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47"/>
            <w:keepNext w:val="0"/>
            <w:keepLines w:val="0"/>
            <w:pageBreakBefore w:val="0"/>
            <w:widowControl/>
            <w:tabs>
              <w:tab w:val="right" w:leader="dot" w:pos="9349"/>
            </w:tabs>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rPr>
          </w:pPr>
        </w:p>
        <w:p>
          <w:pPr>
            <w:pStyle w:val="26"/>
            <w:spacing w:line="360" w:lineRule="auto"/>
            <w:ind w:firstLine="420"/>
            <w:rPr>
              <w:rFonts w:hint="eastAsia"/>
              <w:szCs w:val="21"/>
            </w:rPr>
          </w:pPr>
          <w:r>
            <w:rPr>
              <w:rFonts w:hint="eastAsia"/>
              <w:szCs w:val="21"/>
            </w:rPr>
            <w:fldChar w:fldCharType="end"/>
          </w:r>
        </w:p>
      </w:sdtContent>
    </w:sdt>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spacing w:line="360" w:lineRule="auto"/>
        <w:ind w:firstLine="420"/>
        <w:rPr>
          <w:rFonts w:hint="eastAsia"/>
          <w:szCs w:val="21"/>
        </w:rPr>
      </w:pPr>
    </w:p>
    <w:p>
      <w:pPr>
        <w:pStyle w:val="26"/>
        <w:keepNext w:val="0"/>
        <w:keepLines w:val="0"/>
        <w:pageBreakBefore w:val="0"/>
        <w:widowControl/>
        <w:kinsoku/>
        <w:wordWrap/>
        <w:overflowPunct/>
        <w:topLinePunct w:val="0"/>
        <w:autoSpaceDE w:val="0"/>
        <w:autoSpaceDN w:val="0"/>
        <w:bidi w:val="0"/>
        <w:adjustRightInd w:val="0"/>
        <w:snapToGrid w:val="0"/>
        <w:spacing w:before="850" w:after="680" w:line="360" w:lineRule="auto"/>
        <w:ind w:firstLine="420"/>
        <w:jc w:val="center"/>
        <w:textAlignment w:val="auto"/>
        <w:outlineLvl w:val="0"/>
        <w:rPr>
          <w:rFonts w:hint="eastAsia" w:ascii="黑体" w:hAnsi="黑体" w:eastAsia="黑体" w:cs="黑体"/>
          <w:sz w:val="32"/>
          <w:szCs w:val="32"/>
          <w:lang w:eastAsia="zh-CN"/>
        </w:rPr>
      </w:pPr>
      <w:bookmarkStart w:id="1" w:name="_Toc3919"/>
    </w:p>
    <w:p>
      <w:pPr>
        <w:pStyle w:val="26"/>
        <w:keepNext w:val="0"/>
        <w:keepLines w:val="0"/>
        <w:pageBreakBefore w:val="0"/>
        <w:widowControl/>
        <w:kinsoku/>
        <w:wordWrap/>
        <w:overflowPunct/>
        <w:topLinePunct w:val="0"/>
        <w:autoSpaceDE w:val="0"/>
        <w:autoSpaceDN w:val="0"/>
        <w:bidi w:val="0"/>
        <w:adjustRightInd w:val="0"/>
        <w:snapToGrid w:val="0"/>
        <w:spacing w:before="850" w:after="680" w:line="360" w:lineRule="auto"/>
        <w:ind w:firstLine="420"/>
        <w:jc w:val="center"/>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前</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言</w:t>
      </w:r>
      <w:bookmarkEnd w:id="1"/>
    </w:p>
    <w:p>
      <w:pPr>
        <w:pStyle w:val="26"/>
        <w:keepNext w:val="0"/>
        <w:keepLines w:val="0"/>
        <w:pageBreakBefore w:val="0"/>
        <w:widowControl/>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rPr>
      </w:pPr>
      <w:r>
        <w:rPr>
          <w:rFonts w:hint="eastAsia" w:ascii="宋体" w:hAnsi="宋体" w:eastAsia="宋体" w:cs="宋体"/>
          <w:color w:val="auto"/>
          <w:szCs w:val="21"/>
        </w:rPr>
        <w:t>本标准按GB/T 1.1-2020给出的规则起草。</w:t>
      </w:r>
    </w:p>
    <w:p>
      <w:pPr>
        <w:pStyle w:val="26"/>
        <w:keepNext w:val="0"/>
        <w:keepLines w:val="0"/>
        <w:pageBreakBefore w:val="0"/>
        <w:widowControl/>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本标准由</w:t>
      </w:r>
      <w:r>
        <w:rPr>
          <w:rFonts w:hint="eastAsia" w:hAnsi="宋体" w:cs="宋体"/>
          <w:color w:val="auto"/>
          <w:szCs w:val="21"/>
          <w:lang w:eastAsia="zh-CN"/>
        </w:rPr>
        <w:t>广东省网络空间安全协会、</w:t>
      </w:r>
      <w:r>
        <w:rPr>
          <w:rFonts w:hint="eastAsia" w:ascii="宋体" w:hAnsi="宋体" w:eastAsia="宋体" w:cs="宋体"/>
          <w:color w:val="auto"/>
          <w:szCs w:val="21"/>
        </w:rPr>
        <w:t>北京网络空间安全协会</w:t>
      </w:r>
      <w:r>
        <w:rPr>
          <w:rFonts w:hint="eastAsia" w:hAnsi="宋体" w:cs="宋体"/>
          <w:color w:val="auto"/>
          <w:szCs w:val="21"/>
          <w:lang w:eastAsia="zh-CN"/>
        </w:rPr>
        <w:t>提出并归口。</w:t>
      </w:r>
    </w:p>
    <w:p>
      <w:pPr>
        <w:pStyle w:val="26"/>
        <w:keepNext w:val="0"/>
        <w:keepLines w:val="0"/>
        <w:pageBreakBefore w:val="0"/>
        <w:widowControl/>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本标准起草单位：</w:t>
      </w:r>
      <w:r>
        <w:rPr>
          <w:rFonts w:hint="eastAsia" w:hAnsi="宋体" w:cs="宋体"/>
          <w:color w:val="auto"/>
          <w:szCs w:val="21"/>
          <w:lang w:eastAsia="zh-CN"/>
        </w:rPr>
        <w:t>广东省网络空间安全协会、广东关键信息基础设施保护中心、网安联认证服务有限公司、</w:t>
      </w:r>
      <w:r>
        <w:rPr>
          <w:rFonts w:hint="eastAsia" w:ascii="宋体" w:hAnsi="宋体" w:eastAsia="宋体" w:cs="宋体"/>
          <w:color w:val="auto"/>
          <w:szCs w:val="21"/>
        </w:rPr>
        <w:t xml:space="preserve">广发证券股份有限公司、联通（广东）产业互联网有限公司、蓝盾信息安全技术有限公司 </w:t>
      </w:r>
      <w:r>
        <w:rPr>
          <w:rFonts w:hint="eastAsia" w:hAnsi="宋体" w:cs="宋体"/>
          <w:color w:val="auto"/>
          <w:szCs w:val="21"/>
          <w:lang w:eastAsia="zh-CN"/>
        </w:rPr>
        <w:t>、</w:t>
      </w:r>
      <w:r>
        <w:rPr>
          <w:rFonts w:hint="eastAsia" w:ascii="宋体" w:hAnsi="宋体" w:eastAsia="宋体" w:cs="宋体"/>
          <w:color w:val="auto"/>
          <w:szCs w:val="21"/>
        </w:rPr>
        <w:t xml:space="preserve"> </w:t>
      </w:r>
      <w:r>
        <w:rPr>
          <w:rFonts w:hint="eastAsia" w:hAnsi="宋体" w:cs="宋体"/>
          <w:color w:val="auto"/>
          <w:szCs w:val="21"/>
          <w:lang w:eastAsia="zh-CN"/>
        </w:rPr>
        <w:t>广州华南信息安全测评中心、</w:t>
      </w:r>
      <w:r>
        <w:rPr>
          <w:rFonts w:hint="eastAsia" w:ascii="宋体" w:hAnsi="宋体" w:eastAsia="宋体" w:cs="宋体"/>
          <w:color w:val="auto"/>
          <w:szCs w:val="21"/>
        </w:rPr>
        <w:t>深圳市计量质量检测研究院、</w:t>
      </w:r>
      <w:r>
        <w:rPr>
          <w:rFonts w:hint="eastAsia" w:hAnsi="宋体" w:cs="宋体"/>
          <w:color w:val="auto"/>
          <w:szCs w:val="21"/>
          <w:lang w:eastAsia="zh-CN"/>
        </w:rPr>
        <w:t>广东计安信息网络培训中心、</w:t>
      </w:r>
      <w:r>
        <w:rPr>
          <w:rFonts w:hint="eastAsia" w:ascii="宋体" w:hAnsi="宋体" w:eastAsia="宋体" w:cs="宋体"/>
          <w:color w:val="auto"/>
          <w:szCs w:val="21"/>
        </w:rPr>
        <w:t>广东省东莞市凤岗医院、</w:t>
      </w:r>
      <w:r>
        <w:rPr>
          <w:rFonts w:hint="eastAsia" w:hAnsi="宋体" w:cs="宋体"/>
          <w:color w:val="auto"/>
          <w:szCs w:val="21"/>
          <w:lang w:eastAsia="zh-CN"/>
        </w:rPr>
        <w:t>广东中证声像资料司法鉴定所</w:t>
      </w:r>
      <w:r>
        <w:rPr>
          <w:rFonts w:hint="eastAsia" w:ascii="宋体" w:hAnsi="宋体" w:eastAsia="宋体" w:cs="宋体"/>
          <w:color w:val="auto"/>
          <w:szCs w:val="21"/>
          <w:lang w:eastAsia="zh-CN"/>
        </w:rPr>
        <w:t>。</w:t>
      </w:r>
    </w:p>
    <w:p>
      <w:pPr>
        <w:pStyle w:val="26"/>
        <w:keepNext w:val="0"/>
        <w:keepLines w:val="0"/>
        <w:pageBreakBefore w:val="0"/>
        <w:widowControl/>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本标准起草人：成珍苑、吴星火、</w:t>
      </w:r>
      <w:r>
        <w:rPr>
          <w:rFonts w:hint="eastAsia" w:ascii="宋体" w:hAnsi="宋体" w:eastAsia="宋体" w:cs="宋体"/>
          <w:color w:val="auto"/>
          <w:szCs w:val="21"/>
          <w:lang w:eastAsia="zh-CN"/>
        </w:rPr>
        <w:t>林小博、</w:t>
      </w:r>
      <w:r>
        <w:rPr>
          <w:rFonts w:hint="eastAsia" w:ascii="宋体" w:hAnsi="宋体" w:eastAsia="宋体" w:cs="宋体"/>
          <w:color w:val="auto"/>
          <w:szCs w:val="21"/>
        </w:rPr>
        <w:t xml:space="preserve">陈彦彬、姚飞、周绍午、安创文、李炯彬、 覃晓宁 </w:t>
      </w:r>
      <w:r>
        <w:rPr>
          <w:rFonts w:hint="eastAsia" w:hAnsi="宋体" w:cs="宋体"/>
          <w:color w:val="auto"/>
          <w:szCs w:val="21"/>
          <w:lang w:eastAsia="zh-CN"/>
        </w:rPr>
        <w:t>、</w:t>
      </w:r>
      <w:r>
        <w:rPr>
          <w:rFonts w:hint="eastAsia" w:ascii="宋体" w:hAnsi="宋体" w:eastAsia="宋体" w:cs="宋体"/>
          <w:color w:val="auto"/>
          <w:szCs w:val="21"/>
        </w:rPr>
        <w:t>杜守红、谭祥明、杨文玲、王欢、徐伟、</w:t>
      </w:r>
      <w:r>
        <w:rPr>
          <w:rFonts w:hint="eastAsia" w:ascii="宋体" w:hAnsi="宋体" w:eastAsia="宋体" w:cs="宋体"/>
          <w:color w:val="auto"/>
          <w:szCs w:val="21"/>
          <w:lang w:eastAsia="zh-CN"/>
        </w:rPr>
        <w:t>陈宁</w:t>
      </w:r>
      <w:r>
        <w:rPr>
          <w:rFonts w:hint="eastAsia" w:hAnsi="宋体" w:cs="宋体"/>
          <w:color w:val="auto"/>
          <w:szCs w:val="21"/>
          <w:lang w:eastAsia="zh-CN"/>
        </w:rPr>
        <w:t>、贺锋、</w:t>
      </w:r>
      <w:r>
        <w:rPr>
          <w:rFonts w:hint="eastAsia" w:ascii="宋体" w:hAnsi="宋体" w:eastAsia="宋体" w:cs="宋体"/>
          <w:color w:val="auto"/>
          <w:szCs w:val="21"/>
        </w:rPr>
        <w:t>叶婷</w:t>
      </w:r>
      <w:r>
        <w:rPr>
          <w:rFonts w:hint="eastAsia" w:hAnsi="宋体" w:cs="宋体"/>
          <w:color w:val="auto"/>
          <w:szCs w:val="21"/>
          <w:lang w:eastAsia="zh-CN"/>
        </w:rPr>
        <w:t>、</w:t>
      </w:r>
      <w:r>
        <w:rPr>
          <w:rFonts w:hint="eastAsia" w:ascii="宋体" w:hAnsi="宋体" w:eastAsia="宋体" w:cs="宋体"/>
          <w:color w:val="auto"/>
          <w:szCs w:val="21"/>
        </w:rPr>
        <w:t>曾幸钦、曾炽强、</w:t>
      </w:r>
      <w:r>
        <w:rPr>
          <w:rFonts w:hint="eastAsia" w:hAnsi="宋体" w:cs="宋体"/>
          <w:color w:val="auto"/>
          <w:szCs w:val="21"/>
          <w:lang w:eastAsia="zh-CN"/>
        </w:rPr>
        <w:t>袁毅鸣、</w:t>
      </w:r>
      <w:r>
        <w:rPr>
          <w:rFonts w:hint="eastAsia" w:ascii="宋体" w:hAnsi="宋体" w:eastAsia="宋体" w:cs="宋体"/>
          <w:color w:val="auto"/>
          <w:szCs w:val="21"/>
        </w:rPr>
        <w:t>曾灶烟、李树湖</w:t>
      </w:r>
      <w:r>
        <w:rPr>
          <w:rFonts w:hint="eastAsia" w:hAnsi="宋体" w:cs="宋体"/>
          <w:color w:val="auto"/>
          <w:szCs w:val="21"/>
          <w:lang w:eastAsia="zh-CN"/>
        </w:rPr>
        <w:t>、刘泽楠、周贵招、麦世能、卢焕镇</w:t>
      </w:r>
      <w:r>
        <w:rPr>
          <w:rFonts w:hint="eastAsia" w:ascii="宋体" w:hAnsi="宋体" w:eastAsia="宋体" w:cs="宋体"/>
          <w:color w:val="auto"/>
          <w:szCs w:val="21"/>
          <w:lang w:eastAsia="zh-CN"/>
        </w:rPr>
        <w:t>。</w:t>
      </w:r>
      <w:bookmarkStart w:id="94" w:name="_GoBack"/>
      <w:bookmarkEnd w:id="94"/>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kern w:val="0"/>
          <w:szCs w:val="21"/>
        </w:rPr>
      </w:pPr>
    </w:p>
    <w:p>
      <w:pPr>
        <w:widowControl/>
        <w:jc w:val="left"/>
        <w:rPr>
          <w:rFonts w:ascii="Songti SC Light" w:hAnsi="Songti SC Light" w:eastAsia="Songti SC Light" w:cs="Times New Roman"/>
          <w:b/>
          <w:bCs/>
          <w:kern w:val="0"/>
          <w:szCs w:val="21"/>
        </w:rPr>
      </w:pPr>
      <w:r>
        <w:rPr>
          <w:rFonts w:ascii="Songti SC Light" w:hAnsi="Songti SC Light" w:eastAsia="Songti SC Light" w:cs="Times New Roman"/>
          <w:b/>
          <w:bCs/>
          <w:kern w:val="0"/>
          <w:szCs w:val="21"/>
        </w:rPr>
        <w:br w:type="page"/>
      </w:r>
    </w:p>
    <w:p>
      <w:pPr>
        <w:pStyle w:val="26"/>
        <w:keepNext w:val="0"/>
        <w:keepLines w:val="0"/>
        <w:pageBreakBefore w:val="0"/>
        <w:widowControl/>
        <w:kinsoku/>
        <w:wordWrap/>
        <w:overflowPunct/>
        <w:topLinePunct w:val="0"/>
        <w:autoSpaceDE w:val="0"/>
        <w:autoSpaceDN w:val="0"/>
        <w:bidi w:val="0"/>
        <w:adjustRightInd w:val="0"/>
        <w:snapToGrid w:val="0"/>
        <w:spacing w:before="850" w:after="680" w:line="360" w:lineRule="auto"/>
        <w:ind w:left="0" w:leftChars="0" w:firstLine="0" w:firstLineChars="0"/>
        <w:jc w:val="center"/>
        <w:textAlignment w:val="auto"/>
        <w:outlineLvl w:val="0"/>
        <w:rPr>
          <w:rFonts w:hint="eastAsia" w:ascii="黑体" w:hAnsi="黑体" w:eastAsia="黑体" w:cs="黑体"/>
          <w:sz w:val="32"/>
          <w:szCs w:val="32"/>
          <w:lang w:eastAsia="zh-CN"/>
        </w:rPr>
      </w:pPr>
      <w:bookmarkStart w:id="2" w:name="_Toc28064"/>
      <w:bookmarkStart w:id="3" w:name="_Toc25300"/>
      <w:r>
        <w:rPr>
          <w:rFonts w:hint="eastAsia" w:ascii="黑体" w:hAnsi="黑体" w:eastAsia="黑体" w:cs="黑体"/>
          <w:sz w:val="32"/>
          <w:szCs w:val="32"/>
          <w:lang w:eastAsia="zh-CN"/>
        </w:rPr>
        <w:t>引</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言</w:t>
      </w:r>
      <w:bookmarkEnd w:id="2"/>
    </w:p>
    <w:bookmarkEnd w:id="3"/>
    <w:p>
      <w:pPr>
        <w:pStyle w:val="26"/>
        <w:keepNext w:val="0"/>
        <w:keepLines w:val="0"/>
        <w:pageBreakBefore w:val="0"/>
        <w:widowControl/>
        <w:kinsoku/>
        <w:wordWrap/>
        <w:overflowPunct/>
        <w:topLinePunct w:val="0"/>
        <w:autoSpaceDE w:val="0"/>
        <w:autoSpaceDN w:val="0"/>
        <w:bidi w:val="0"/>
        <w:adjustRightInd/>
        <w:snapToGrid/>
        <w:spacing w:before="680" w:line="360" w:lineRule="auto"/>
        <w:ind w:firstLine="420"/>
        <w:jc w:val="both"/>
        <w:textAlignment w:val="auto"/>
        <w:rPr>
          <w:rFonts w:hAnsi="宋体"/>
          <w:szCs w:val="21"/>
        </w:rPr>
      </w:pPr>
      <w:r>
        <w:rPr>
          <w:rFonts w:hint="eastAsia" w:hAnsi="宋体"/>
          <w:szCs w:val="21"/>
        </w:rPr>
        <w:t>网络空间的竞争，归根结底是人才竞争，</w:t>
      </w:r>
      <w:r>
        <w:rPr>
          <w:rFonts w:hAnsi="宋体"/>
          <w:szCs w:val="21"/>
        </w:rPr>
        <w:t>保障</w:t>
      </w:r>
      <w:r>
        <w:rPr>
          <w:rFonts w:hAnsi="宋体"/>
          <w:iCs/>
          <w:szCs w:val="21"/>
        </w:rPr>
        <w:t>网络</w:t>
      </w:r>
      <w:r>
        <w:rPr>
          <w:rFonts w:hint="eastAsia" w:hAnsi="宋体"/>
          <w:iCs/>
          <w:szCs w:val="21"/>
        </w:rPr>
        <w:t>空间</w:t>
      </w:r>
      <w:r>
        <w:rPr>
          <w:rFonts w:hAnsi="宋体"/>
          <w:iCs/>
          <w:szCs w:val="21"/>
        </w:rPr>
        <w:t>安全</w:t>
      </w:r>
      <w:r>
        <w:rPr>
          <w:rFonts w:hAnsi="宋体"/>
          <w:szCs w:val="21"/>
        </w:rPr>
        <w:t>，维护</w:t>
      </w:r>
      <w:r>
        <w:rPr>
          <w:rFonts w:hAnsi="宋体"/>
          <w:iCs/>
          <w:szCs w:val="21"/>
        </w:rPr>
        <w:t>网络</w:t>
      </w:r>
      <w:r>
        <w:rPr>
          <w:rFonts w:hint="eastAsia" w:hAnsi="宋体"/>
          <w:iCs/>
          <w:szCs w:val="21"/>
        </w:rPr>
        <w:t>空间</w:t>
      </w:r>
      <w:r>
        <w:rPr>
          <w:rFonts w:hAnsi="宋体"/>
          <w:szCs w:val="21"/>
        </w:rPr>
        <w:t>主权和国家</w:t>
      </w:r>
      <w:r>
        <w:rPr>
          <w:rFonts w:hAnsi="宋体"/>
          <w:iCs/>
          <w:szCs w:val="21"/>
        </w:rPr>
        <w:t>安全</w:t>
      </w:r>
      <w:r>
        <w:rPr>
          <w:rFonts w:hAnsi="宋体"/>
          <w:szCs w:val="21"/>
        </w:rPr>
        <w:t>、社会公共利益，促进经济社会信息化健康发展，</w:t>
      </w:r>
      <w:r>
        <w:rPr>
          <w:rFonts w:hint="eastAsia" w:hAnsi="宋体"/>
          <w:szCs w:val="21"/>
        </w:rPr>
        <w:t>网络空间</w:t>
      </w:r>
      <w:r>
        <w:rPr>
          <w:rFonts w:hint="eastAsia" w:hAnsi="宋体"/>
          <w:szCs w:val="21"/>
          <w:lang w:eastAsia="zh-CN"/>
        </w:rPr>
        <w:t>安全</w:t>
      </w:r>
      <w:r>
        <w:rPr>
          <w:rFonts w:hint="eastAsia" w:hAnsi="宋体"/>
          <w:szCs w:val="21"/>
        </w:rPr>
        <w:t>人才将发挥关键作用。我国《网络</w:t>
      </w:r>
      <w:r>
        <w:rPr>
          <w:rFonts w:hint="eastAsia" w:hAnsi="宋体"/>
          <w:szCs w:val="21"/>
          <w:lang w:eastAsia="zh-CN"/>
        </w:rPr>
        <w:t>安全</w:t>
      </w:r>
      <w:r>
        <w:rPr>
          <w:rFonts w:hint="eastAsia" w:hAnsi="宋体"/>
          <w:szCs w:val="21"/>
        </w:rPr>
        <w:t>法》已对关键信息基础设施运营者“设置专门安全管理机构和安全管理负责人”做出了明确规定，同时鼓励其他网络运营者自愿参与关键信息基础设施保护体系。对网络空间</w:t>
      </w:r>
      <w:r>
        <w:rPr>
          <w:rFonts w:hint="eastAsia" w:hAnsi="宋体"/>
          <w:szCs w:val="21"/>
          <w:lang w:eastAsia="zh-CN"/>
        </w:rPr>
        <w:t>安全</w:t>
      </w:r>
      <w:r>
        <w:rPr>
          <w:rFonts w:hint="eastAsia" w:hAnsi="宋体"/>
          <w:szCs w:val="21"/>
        </w:rPr>
        <w:t>从业人员专业知识、能力和行为准则进行标准化规范，有利于人才队伍的健康发展，但目前对从业人员如何分级分类、应具备何种专业知识和能力水平等问题尚未建立标准规范，各用人单位的网络空间</w:t>
      </w:r>
      <w:r>
        <w:rPr>
          <w:rFonts w:hint="eastAsia" w:hAnsi="宋体"/>
          <w:szCs w:val="21"/>
          <w:lang w:eastAsia="zh-CN"/>
        </w:rPr>
        <w:t>安全</w:t>
      </w:r>
      <w:r>
        <w:rPr>
          <w:rFonts w:hint="eastAsia" w:hAnsi="宋体"/>
          <w:szCs w:val="21"/>
        </w:rPr>
        <w:t>岗位设置和能力要求各行其是，差别较大。</w:t>
      </w:r>
    </w:p>
    <w:p>
      <w:pPr>
        <w:pStyle w:val="26"/>
        <w:spacing w:line="360" w:lineRule="auto"/>
        <w:ind w:firstLine="420"/>
        <w:jc w:val="both"/>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制定统一的标准，推进权威机构的网络空间</w:t>
      </w:r>
      <w:r>
        <w:rPr>
          <w:rFonts w:hint="eastAsia" w:hAnsi="宋体"/>
          <w:color w:val="000000" w:themeColor="text1"/>
          <w:szCs w:val="21"/>
          <w:lang w:eastAsia="zh-CN"/>
          <w14:textFill>
            <w14:solidFill>
              <w14:schemeClr w14:val="tx1"/>
            </w14:solidFill>
          </w14:textFill>
        </w:rPr>
        <w:t>安全</w:t>
      </w:r>
      <w:r>
        <w:rPr>
          <w:rFonts w:hint="eastAsia" w:hAnsi="宋体"/>
          <w:color w:val="000000" w:themeColor="text1"/>
          <w:szCs w:val="21"/>
          <w14:textFill>
            <w14:solidFill>
              <w14:schemeClr w14:val="tx1"/>
            </w14:solidFill>
          </w14:textFill>
        </w:rPr>
        <w:t>专业人才资质能力考核、认证工作，能够有效证明从业人员具备了相应的专业知识和能力、工作经验和业绩、以及较高的职业道德水平，从而为网络空间</w:t>
      </w:r>
      <w:r>
        <w:rPr>
          <w:rFonts w:hint="eastAsia" w:hAnsi="宋体"/>
          <w:color w:val="000000" w:themeColor="text1"/>
          <w:szCs w:val="21"/>
          <w:lang w:eastAsia="zh-CN"/>
          <w14:textFill>
            <w14:solidFill>
              <w14:schemeClr w14:val="tx1"/>
            </w14:solidFill>
          </w14:textFill>
        </w:rPr>
        <w:t>安全</w:t>
      </w:r>
      <w:r>
        <w:rPr>
          <w:rFonts w:hint="eastAsia" w:hAnsi="宋体"/>
          <w:color w:val="000000" w:themeColor="text1"/>
          <w:szCs w:val="21"/>
          <w14:textFill>
            <w14:solidFill>
              <w14:schemeClr w14:val="tx1"/>
            </w14:solidFill>
          </w14:textFill>
        </w:rPr>
        <w:t>人才评价考核、选拔任用、职业晋阶提供参考依据，推进网络空间</w:t>
      </w:r>
      <w:r>
        <w:rPr>
          <w:rFonts w:hint="eastAsia" w:hAnsi="宋体"/>
          <w:color w:val="000000" w:themeColor="text1"/>
          <w:szCs w:val="21"/>
          <w:lang w:eastAsia="zh-CN"/>
          <w14:textFill>
            <w14:solidFill>
              <w14:schemeClr w14:val="tx1"/>
            </w14:solidFill>
          </w14:textFill>
        </w:rPr>
        <w:t>安全</w:t>
      </w:r>
      <w:r>
        <w:rPr>
          <w:rFonts w:hint="eastAsia" w:hAnsi="宋体"/>
          <w:color w:val="000000" w:themeColor="text1"/>
          <w:szCs w:val="21"/>
          <w14:textFill>
            <w14:solidFill>
              <w14:schemeClr w14:val="tx1"/>
            </w14:solidFill>
          </w14:textFill>
        </w:rPr>
        <w:t>人才的职业化和专业化发展。</w:t>
      </w:r>
    </w:p>
    <w:p>
      <w:pPr>
        <w:pStyle w:val="26"/>
        <w:spacing w:line="360" w:lineRule="auto"/>
        <w:ind w:firstLine="420"/>
        <w:jc w:val="both"/>
        <w:rPr>
          <w:rFonts w:hAnsi="宋体"/>
          <w:szCs w:val="21"/>
        </w:rPr>
      </w:pPr>
      <w:r>
        <w:rPr>
          <w:rFonts w:hint="eastAsia" w:hAnsi="宋体"/>
          <w:color w:val="000000" w:themeColor="text1"/>
          <w:szCs w:val="21"/>
          <w14:textFill>
            <w14:solidFill>
              <w14:schemeClr w14:val="tx1"/>
            </w14:solidFill>
          </w14:textFill>
        </w:rPr>
        <w:t>本标准是针对网络空间安全从业人员资格认定：网络空间</w:t>
      </w:r>
      <w:r>
        <w:rPr>
          <w:rFonts w:hint="eastAsia" w:hAnsi="宋体"/>
          <w:color w:val="000000" w:themeColor="text1"/>
          <w:szCs w:val="21"/>
          <w:lang w:eastAsia="zh-CN"/>
          <w14:textFill>
            <w14:solidFill>
              <w14:schemeClr w14:val="tx1"/>
            </w14:solidFill>
          </w14:textFill>
        </w:rPr>
        <w:t>安全</w:t>
      </w:r>
      <w:r>
        <w:rPr>
          <w:rFonts w:hint="eastAsia" w:hAnsi="宋体"/>
          <w:color w:val="000000" w:themeColor="text1"/>
          <w:szCs w:val="21"/>
          <w14:textFill>
            <w14:solidFill>
              <w14:schemeClr w14:val="tx1"/>
            </w14:solidFill>
          </w14:textFill>
        </w:rPr>
        <w:t>专业人员认证（Code for Cert</w:t>
      </w:r>
      <w:r>
        <w:rPr>
          <w:rFonts w:hint="eastAsia" w:hAnsi="宋体"/>
          <w:color w:val="000000" w:themeColor="text1"/>
          <w:szCs w:val="21"/>
          <w:lang w:eastAsia="zh-CN"/>
          <w14:textFill>
            <w14:solidFill>
              <w14:schemeClr w14:val="tx1"/>
            </w14:solidFill>
          </w14:textFill>
        </w:rPr>
        <w:t>H</w:t>
      </w:r>
      <w:r>
        <w:rPr>
          <w:rFonts w:hint="eastAsia" w:hAnsi="宋体"/>
          <w:color w:val="000000" w:themeColor="text1"/>
          <w:szCs w:val="21"/>
          <w14:textFill>
            <w14:solidFill>
              <w14:schemeClr w14:val="tx1"/>
            </w14:solidFill>
          </w14:textFill>
        </w:rPr>
        <w:t>f</w:t>
      </w:r>
      <w:r>
        <w:rPr>
          <w:rFonts w:hint="eastAsia" w:hAnsi="宋体"/>
          <w:color w:val="000000" w:themeColor="text1"/>
          <w:szCs w:val="21"/>
          <w:lang w:eastAsia="zh-CN"/>
          <w14:textFill>
            <w14:solidFill>
              <w14:schemeClr w14:val="tx1"/>
            </w14:solidFill>
          </w14:textFill>
        </w:rPr>
        <w:t>H</w:t>
      </w:r>
      <w:r>
        <w:rPr>
          <w:rFonts w:hint="eastAsia" w:hAnsi="宋体"/>
          <w:color w:val="000000" w:themeColor="text1"/>
          <w:szCs w:val="21"/>
          <w14:textFill>
            <w14:solidFill>
              <w14:schemeClr w14:val="tx1"/>
            </w14:solidFill>
          </w14:textFill>
        </w:rPr>
        <w:t>cat</w:t>
      </w:r>
      <w:r>
        <w:rPr>
          <w:rFonts w:hint="eastAsia" w:hAnsi="宋体"/>
          <w:color w:val="000000" w:themeColor="text1"/>
          <w:szCs w:val="21"/>
          <w:lang w:eastAsia="zh-CN"/>
          <w14:textFill>
            <w14:solidFill>
              <w14:schemeClr w14:val="tx1"/>
            </w14:solidFill>
          </w14:textFill>
        </w:rPr>
        <w:t>H</w:t>
      </w:r>
      <w:r>
        <w:rPr>
          <w:rFonts w:hint="eastAsia" w:hAnsi="宋体"/>
          <w:color w:val="000000" w:themeColor="text1"/>
          <w:szCs w:val="21"/>
          <w14:textFill>
            <w14:solidFill>
              <w14:schemeClr w14:val="tx1"/>
            </w14:solidFill>
          </w14:textFill>
        </w:rPr>
        <w:t>on of Cyberspace Secur</w:t>
      </w:r>
      <w:r>
        <w:rPr>
          <w:rFonts w:hint="eastAsia" w:hAnsi="宋体"/>
          <w:color w:val="000000" w:themeColor="text1"/>
          <w:szCs w:val="21"/>
          <w:lang w:eastAsia="zh-CN"/>
          <w14:textFill>
            <w14:solidFill>
              <w14:schemeClr w14:val="tx1"/>
            </w14:solidFill>
          </w14:textFill>
        </w:rPr>
        <w:t>H</w:t>
      </w:r>
      <w:r>
        <w:rPr>
          <w:rFonts w:hint="eastAsia" w:hAnsi="宋体"/>
          <w:color w:val="000000" w:themeColor="text1"/>
          <w:szCs w:val="21"/>
          <w14:textFill>
            <w14:solidFill>
              <w14:schemeClr w14:val="tx1"/>
            </w14:solidFill>
          </w14:textFill>
        </w:rPr>
        <w:t>ty Profess</w:t>
      </w:r>
      <w:r>
        <w:rPr>
          <w:rFonts w:hint="eastAsia" w:hAnsi="宋体"/>
          <w:color w:val="000000" w:themeColor="text1"/>
          <w:szCs w:val="21"/>
          <w:lang w:eastAsia="zh-CN"/>
          <w14:textFill>
            <w14:solidFill>
              <w14:schemeClr w14:val="tx1"/>
            </w14:solidFill>
          </w14:textFill>
        </w:rPr>
        <w:t>H</w:t>
      </w:r>
      <w:r>
        <w:rPr>
          <w:rFonts w:hint="eastAsia" w:hAnsi="宋体"/>
          <w:color w:val="000000" w:themeColor="text1"/>
          <w:szCs w:val="21"/>
          <w14:textFill>
            <w14:solidFill>
              <w14:schemeClr w14:val="tx1"/>
            </w14:solidFill>
          </w14:textFill>
        </w:rPr>
        <w:t xml:space="preserve">onl英文缩写CSP）, </w:t>
      </w:r>
      <w:r>
        <w:rPr>
          <w:rFonts w:hint="eastAsia" w:hAnsi="宋体"/>
          <w:szCs w:val="21"/>
        </w:rPr>
        <w:t>这种认定通过考试和其它评价方式证明获证人员具备了从事网络空间</w:t>
      </w:r>
      <w:r>
        <w:rPr>
          <w:rFonts w:hint="eastAsia" w:hAnsi="宋体"/>
          <w:szCs w:val="21"/>
          <w:lang w:eastAsia="zh-CN"/>
        </w:rPr>
        <w:t>安全</w:t>
      </w:r>
      <w:r>
        <w:rPr>
          <w:rFonts w:hint="eastAsia" w:hAnsi="宋体"/>
          <w:szCs w:val="21"/>
        </w:rPr>
        <w:t>工作的个人素质和相应的技术知识与应用能力，以供用人单位选用具备能力资格的网络空间安全专业人员。</w:t>
      </w:r>
    </w:p>
    <w:p>
      <w:pPr>
        <w:pStyle w:val="26"/>
        <w:spacing w:line="360" w:lineRule="auto"/>
        <w:ind w:firstLine="420"/>
        <w:jc w:val="both"/>
        <w:rPr>
          <w:szCs w:val="21"/>
        </w:rPr>
      </w:pPr>
      <w:r>
        <w:rPr>
          <w:rFonts w:hint="eastAsia" w:hAnsi="宋体"/>
          <w:szCs w:val="21"/>
        </w:rPr>
        <w:t>本标准规定了网络空间</w:t>
      </w:r>
      <w:r>
        <w:rPr>
          <w:rFonts w:hint="eastAsia" w:hAnsi="宋体"/>
          <w:szCs w:val="21"/>
          <w:lang w:eastAsia="zh-CN"/>
        </w:rPr>
        <w:t>安全</w:t>
      </w:r>
      <w:r>
        <w:rPr>
          <w:rFonts w:hint="eastAsia" w:hAnsi="宋体"/>
          <w:szCs w:val="21"/>
        </w:rPr>
        <w:t>专业人员等级认定的类别及级别划分，</w:t>
      </w:r>
      <w:r>
        <w:rPr>
          <w:rFonts w:hint="eastAsia"/>
          <w:szCs w:val="21"/>
        </w:rPr>
        <w:t>获证人员职业素养、资历、知识和能力要求。</w:t>
      </w:r>
    </w:p>
    <w:p>
      <w:pPr>
        <w:pStyle w:val="26"/>
        <w:spacing w:line="360" w:lineRule="auto"/>
        <w:ind w:firstLine="420"/>
        <w:jc w:val="both"/>
        <w:rPr>
          <w:rFonts w:hAnsi="宋体"/>
          <w:szCs w:val="21"/>
        </w:rPr>
      </w:pPr>
      <w:r>
        <w:rPr>
          <w:rFonts w:hint="eastAsia" w:hAnsi="宋体"/>
          <w:szCs w:val="21"/>
        </w:rPr>
        <w:t>通过CSP评定，表明获证人员：</w:t>
      </w:r>
    </w:p>
    <w:p>
      <w:pPr>
        <w:pStyle w:val="26"/>
        <w:spacing w:line="360" w:lineRule="auto"/>
        <w:ind w:firstLine="0" w:firstLineChars="0"/>
        <w:jc w:val="both"/>
        <w:rPr>
          <w:rFonts w:hAnsi="宋体"/>
          <w:szCs w:val="21"/>
        </w:rPr>
      </w:pPr>
      <w:r>
        <w:rPr>
          <w:rFonts w:hint="eastAsia" w:hAnsi="宋体"/>
          <w:szCs w:val="21"/>
        </w:rPr>
        <w:t>1</w:t>
      </w:r>
      <w:r>
        <w:rPr>
          <w:rFonts w:hAnsi="宋体"/>
          <w:szCs w:val="21"/>
        </w:rPr>
        <w:t>.</w:t>
      </w:r>
      <w:r>
        <w:rPr>
          <w:rFonts w:hint="eastAsia" w:hAnsi="宋体"/>
          <w:szCs w:val="21"/>
        </w:rPr>
        <w:t>在申请认定前成功完成了北京网络空间安全协会或</w:t>
      </w:r>
      <w:r>
        <w:rPr>
          <w:rFonts w:hAnsi="宋体"/>
          <w:szCs w:val="21"/>
        </w:rPr>
        <w:t>其授权培训机构组织</w:t>
      </w:r>
      <w:r>
        <w:rPr>
          <w:rFonts w:hint="eastAsia" w:hAnsi="宋体"/>
          <w:szCs w:val="21"/>
        </w:rPr>
        <w:t>的网络空间</w:t>
      </w:r>
      <w:r>
        <w:rPr>
          <w:rFonts w:hint="eastAsia" w:hAnsi="宋体"/>
          <w:szCs w:val="21"/>
          <w:lang w:eastAsia="zh-CN"/>
        </w:rPr>
        <w:t>安全</w:t>
      </w:r>
      <w:r>
        <w:rPr>
          <w:rFonts w:hint="eastAsia" w:hAnsi="宋体"/>
          <w:szCs w:val="21"/>
        </w:rPr>
        <w:t>专业人员培训课程相应资质所需的分类课程，并取得培训合格证书；</w:t>
      </w:r>
    </w:p>
    <w:p>
      <w:pPr>
        <w:pStyle w:val="26"/>
        <w:spacing w:line="360" w:lineRule="auto"/>
        <w:ind w:firstLine="0" w:firstLineChars="0"/>
        <w:jc w:val="both"/>
        <w:rPr>
          <w:rFonts w:hAnsi="宋体"/>
          <w:szCs w:val="21"/>
        </w:rPr>
      </w:pPr>
      <w:r>
        <w:rPr>
          <w:rFonts w:hint="eastAsia" w:hAnsi="宋体"/>
          <w:szCs w:val="21"/>
        </w:rPr>
        <w:t>2</w:t>
      </w:r>
      <w:r>
        <w:rPr>
          <w:rFonts w:hAnsi="宋体"/>
          <w:szCs w:val="21"/>
        </w:rPr>
        <w:t>.</w:t>
      </w:r>
      <w:r>
        <w:rPr>
          <w:rFonts w:hint="eastAsia" w:hAnsi="宋体"/>
          <w:szCs w:val="21"/>
        </w:rPr>
        <w:t>通过了《网络空间安全专业人员认证规范》要求的相应类别和级别的技术知识水平与应用能力考试，并符合本规范的其它要求；</w:t>
      </w:r>
    </w:p>
    <w:p>
      <w:pPr>
        <w:pStyle w:val="26"/>
        <w:spacing w:line="360" w:lineRule="auto"/>
        <w:ind w:firstLine="0" w:firstLineChars="0"/>
        <w:jc w:val="both"/>
        <w:rPr>
          <w:rFonts w:hAnsi="宋体"/>
          <w:szCs w:val="21"/>
        </w:rPr>
      </w:pPr>
      <w:r>
        <w:rPr>
          <w:rFonts w:hint="eastAsia" w:hAnsi="宋体"/>
          <w:szCs w:val="21"/>
        </w:rPr>
        <w:t>3</w:t>
      </w:r>
      <w:r>
        <w:rPr>
          <w:rFonts w:hAnsi="宋体"/>
          <w:szCs w:val="21"/>
        </w:rPr>
        <w:t>.</w:t>
      </w:r>
      <w:r>
        <w:rPr>
          <w:rFonts w:hint="eastAsia" w:hAnsi="宋体"/>
          <w:szCs w:val="21"/>
        </w:rPr>
        <w:t>达到了网络空间</w:t>
      </w:r>
      <w:r>
        <w:rPr>
          <w:rFonts w:hint="eastAsia" w:hAnsi="宋体"/>
          <w:szCs w:val="21"/>
          <w:lang w:eastAsia="zh-CN"/>
        </w:rPr>
        <w:t>安全</w:t>
      </w:r>
      <w:r>
        <w:rPr>
          <w:rFonts w:hint="eastAsia" w:hAnsi="宋体"/>
          <w:szCs w:val="21"/>
        </w:rPr>
        <w:t>从业人员应具有的职业素养、教育经历、从业经历的要求；</w:t>
      </w:r>
    </w:p>
    <w:p>
      <w:pPr>
        <w:pStyle w:val="26"/>
        <w:spacing w:line="360" w:lineRule="auto"/>
        <w:ind w:firstLine="0" w:firstLineChars="0"/>
        <w:jc w:val="both"/>
        <w:rPr>
          <w:rFonts w:hAnsi="宋体"/>
          <w:szCs w:val="21"/>
        </w:rPr>
      </w:pPr>
      <w:r>
        <w:rPr>
          <w:rFonts w:hint="eastAsia" w:hAnsi="宋体"/>
          <w:szCs w:val="21"/>
        </w:rPr>
        <w:t>4</w:t>
      </w:r>
      <w:r>
        <w:rPr>
          <w:rFonts w:hAnsi="宋体"/>
          <w:szCs w:val="21"/>
        </w:rPr>
        <w:t>.</w:t>
      </w:r>
      <w:r>
        <w:rPr>
          <w:rFonts w:hint="eastAsia" w:hAnsi="宋体"/>
          <w:szCs w:val="21"/>
        </w:rPr>
        <w:t>履行了《网络空间安全专业人员认证规范》规定的义务；</w:t>
      </w:r>
    </w:p>
    <w:p>
      <w:pPr>
        <w:pStyle w:val="26"/>
        <w:spacing w:line="360" w:lineRule="auto"/>
        <w:ind w:firstLine="0" w:firstLineChars="0"/>
        <w:jc w:val="both"/>
        <w:rPr>
          <w:szCs w:val="21"/>
        </w:rPr>
      </w:pPr>
      <w:r>
        <w:rPr>
          <w:rFonts w:hint="eastAsia" w:hAnsi="宋体"/>
          <w:szCs w:val="21"/>
        </w:rPr>
        <w:t>5</w:t>
      </w:r>
      <w:r>
        <w:rPr>
          <w:rFonts w:hAnsi="宋体"/>
          <w:szCs w:val="21"/>
        </w:rPr>
        <w:t>.</w:t>
      </w:r>
      <w:r>
        <w:rPr>
          <w:rFonts w:hint="eastAsia" w:hAnsi="宋体"/>
          <w:szCs w:val="21"/>
        </w:rPr>
        <w:t>所有获证人员除符合本标准要求之外，还应遵守</w:t>
      </w:r>
      <w:r>
        <w:rPr>
          <w:rFonts w:hint="eastAsia"/>
          <w:szCs w:val="21"/>
        </w:rPr>
        <w:t>本国家和</w:t>
      </w:r>
      <w:r>
        <w:rPr>
          <w:szCs w:val="21"/>
        </w:rPr>
        <w:t>/</w:t>
      </w:r>
      <w:r>
        <w:rPr>
          <w:rFonts w:hint="eastAsia"/>
          <w:szCs w:val="21"/>
        </w:rPr>
        <w:t>或地区的有关法律、法规。</w:t>
      </w:r>
    </w:p>
    <w:p>
      <w:pPr>
        <w:keepNext w:val="0"/>
        <w:keepLines w:val="0"/>
        <w:pageBreakBefore w:val="0"/>
        <w:widowControl w:val="0"/>
        <w:kinsoku/>
        <w:wordWrap/>
        <w:overflowPunct/>
        <w:topLinePunct w:val="0"/>
        <w:autoSpaceDE/>
        <w:autoSpaceDN/>
        <w:bidi w:val="0"/>
        <w:adjustRightInd w:val="0"/>
        <w:snapToGrid w:val="0"/>
        <w:spacing w:before="850" w:after="680" w:line="360" w:lineRule="auto"/>
        <w:jc w:val="center"/>
        <w:textAlignment w:val="auto"/>
        <w:outlineLvl w:val="0"/>
        <w:rPr>
          <w:rFonts w:hint="eastAsia" w:ascii="黑体" w:hAnsi="黑体" w:eastAsia="黑体" w:cs="黑体"/>
          <w:color w:val="000000" w:themeColor="text1"/>
          <w:sz w:val="32"/>
          <w:szCs w:val="32"/>
          <w14:textFill>
            <w14:solidFill>
              <w14:schemeClr w14:val="tx1"/>
            </w14:solidFill>
          </w14:textFill>
        </w:rPr>
        <w:sectPr>
          <w:footerReference r:id="rId10" w:type="default"/>
          <w:headerReference r:id="rId9" w:type="even"/>
          <w:footerReference r:id="rId11" w:type="even"/>
          <w:pgSz w:w="11900" w:h="16838"/>
          <w:pgMar w:top="1417" w:right="1134" w:bottom="1440" w:left="1417" w:header="454" w:footer="794" w:gutter="0"/>
          <w:pgNumType w:fmt="upperRoman" w:start="1"/>
          <w:cols w:space="0" w:num="1"/>
          <w:docGrid w:type="lines" w:linePitch="317" w:charSpace="0"/>
        </w:sectPr>
      </w:pPr>
      <w:bookmarkStart w:id="4" w:name="_Toc20466"/>
    </w:p>
    <w:p>
      <w:pPr>
        <w:keepNext w:val="0"/>
        <w:keepLines w:val="0"/>
        <w:pageBreakBefore w:val="0"/>
        <w:widowControl w:val="0"/>
        <w:kinsoku/>
        <w:wordWrap/>
        <w:overflowPunct/>
        <w:topLinePunct w:val="0"/>
        <w:autoSpaceDE/>
        <w:autoSpaceDN/>
        <w:bidi w:val="0"/>
        <w:adjustRightInd w:val="0"/>
        <w:snapToGrid w:val="0"/>
        <w:spacing w:before="850" w:after="680" w:line="360" w:lineRule="auto"/>
        <w:jc w:val="center"/>
        <w:textAlignment w:val="auto"/>
        <w:outlineLvl w:val="0"/>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网络空间安全专业人员认证规范</w:t>
      </w:r>
      <w:bookmarkEnd w:id="4"/>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黑体" w:hAnsi="黑体" w:eastAsia="黑体" w:cs="黑体"/>
          <w:b w:val="0"/>
          <w:bCs w:val="0"/>
          <w:kern w:val="0"/>
          <w:szCs w:val="21"/>
        </w:rPr>
      </w:pPr>
      <w:bookmarkStart w:id="5" w:name="_Toc10657"/>
      <w:r>
        <w:rPr>
          <w:rFonts w:hint="eastAsia" w:ascii="黑体" w:hAnsi="黑体" w:eastAsia="黑体" w:cs="黑体"/>
          <w:b w:val="0"/>
          <w:bCs w:val="0"/>
          <w:kern w:val="0"/>
          <w:szCs w:val="21"/>
        </w:rPr>
        <w:t>1. 范围</w:t>
      </w:r>
      <w:bookmarkEnd w:id="5"/>
    </w:p>
    <w:p>
      <w:pPr>
        <w:pStyle w:val="26"/>
        <w:spacing w:line="360" w:lineRule="auto"/>
        <w:ind w:firstLine="420"/>
        <w:rPr>
          <w:rFonts w:ascii="Times New Roman"/>
          <w:szCs w:val="21"/>
        </w:rPr>
      </w:pPr>
      <w:r>
        <w:rPr>
          <w:rFonts w:hint="eastAsia" w:ascii="Times New Roman"/>
          <w:szCs w:val="21"/>
        </w:rPr>
        <w:t>本标准规定了网络空间</w:t>
      </w:r>
      <w:r>
        <w:rPr>
          <w:rFonts w:hint="eastAsia" w:ascii="Times New Roman"/>
          <w:szCs w:val="21"/>
          <w:lang w:eastAsia="zh-CN"/>
        </w:rPr>
        <w:t>安全</w:t>
      </w:r>
      <w:r>
        <w:rPr>
          <w:rFonts w:hint="eastAsia" w:ascii="Times New Roman"/>
          <w:szCs w:val="21"/>
        </w:rPr>
        <w:t>专业人员认证的级别及资格要求。</w:t>
      </w:r>
    </w:p>
    <w:p>
      <w:pPr>
        <w:pStyle w:val="26"/>
        <w:spacing w:line="360" w:lineRule="auto"/>
        <w:ind w:firstLine="420"/>
        <w:rPr>
          <w:rFonts w:ascii="Times New Roman"/>
          <w:szCs w:val="21"/>
        </w:rPr>
      </w:pPr>
      <w:r>
        <w:rPr>
          <w:rFonts w:hint="eastAsia" w:ascii="Times New Roman"/>
          <w:szCs w:val="21"/>
        </w:rPr>
        <w:t>本标准适用于参与网络空间</w:t>
      </w:r>
      <w:r>
        <w:rPr>
          <w:rFonts w:hint="eastAsia" w:ascii="Times New Roman"/>
          <w:szCs w:val="21"/>
          <w:lang w:eastAsia="zh-CN"/>
        </w:rPr>
        <w:t>安全工作的所有从</w:t>
      </w:r>
      <w:r>
        <w:rPr>
          <w:rFonts w:hint="eastAsia" w:ascii="Times New Roman"/>
          <w:szCs w:val="21"/>
        </w:rPr>
        <w:t>业人员。</w:t>
      </w:r>
    </w:p>
    <w:p>
      <w:pPr>
        <w:spacing w:line="360" w:lineRule="auto"/>
        <w:outlineLvl w:val="0"/>
        <w:rPr>
          <w:rFonts w:ascii="Songti SC Light" w:hAnsi="Songti SC Light" w:eastAsia="Songti SC Light" w:cs="Times New Roman"/>
          <w:b/>
          <w:bCs/>
          <w:kern w:val="0"/>
          <w:szCs w:val="21"/>
        </w:rPr>
      </w:pPr>
      <w:bookmarkStart w:id="6" w:name="_Toc29009"/>
      <w:r>
        <w:rPr>
          <w:rFonts w:hint="eastAsia" w:ascii="黑体" w:hAnsi="黑体" w:eastAsia="黑体" w:cs="黑体"/>
          <w:b w:val="0"/>
          <w:bCs w:val="0"/>
          <w:kern w:val="0"/>
          <w:szCs w:val="21"/>
        </w:rPr>
        <w:t>2. 规范性引用文件</w:t>
      </w:r>
      <w:bookmarkEnd w:id="6"/>
    </w:p>
    <w:p>
      <w:pPr>
        <w:pStyle w:val="26"/>
        <w:spacing w:line="360" w:lineRule="auto"/>
        <w:ind w:firstLine="420"/>
        <w:rPr>
          <w:rFonts w:ascii="Times New Roman"/>
          <w:szCs w:val="21"/>
        </w:rPr>
      </w:pPr>
      <w:r>
        <w:rPr>
          <w:rFonts w:hint="eastAsia" w:ascii="Times New Roman"/>
          <w:szCs w:val="21"/>
        </w:rPr>
        <w:t>下列文件对于本文件的应用是必不可少的。凡是注日期的引用文件，仅注日期的版本适用于本文件。</w:t>
      </w:r>
    </w:p>
    <w:p>
      <w:pPr>
        <w:pStyle w:val="26"/>
        <w:spacing w:line="360" w:lineRule="auto"/>
        <w:ind w:firstLine="420"/>
        <w:rPr>
          <w:rFonts w:ascii="Times New Roman"/>
          <w:szCs w:val="21"/>
        </w:rPr>
      </w:pPr>
      <w:r>
        <w:rPr>
          <w:rFonts w:hint="eastAsia" w:ascii="Times New Roman"/>
          <w:szCs w:val="21"/>
        </w:rPr>
        <w:t>凡是不注日期的引用文件，其最新版本（包括所有的修改单）适用于本文件。</w:t>
      </w:r>
    </w:p>
    <w:p>
      <w:pPr>
        <w:spacing w:line="360" w:lineRule="auto"/>
        <w:outlineLvl w:val="0"/>
        <w:rPr>
          <w:rFonts w:hint="eastAsia" w:ascii="黑体" w:hAnsi="黑体" w:eastAsia="黑体" w:cs="黑体"/>
          <w:b w:val="0"/>
          <w:bCs w:val="0"/>
          <w:kern w:val="0"/>
          <w:szCs w:val="21"/>
        </w:rPr>
      </w:pPr>
      <w:bookmarkStart w:id="7" w:name="_Toc22517"/>
      <w:r>
        <w:rPr>
          <w:rFonts w:hint="eastAsia" w:ascii="黑体" w:hAnsi="黑体" w:eastAsia="黑体" w:cs="黑体"/>
          <w:b w:val="0"/>
          <w:bCs w:val="0"/>
          <w:kern w:val="0"/>
          <w:szCs w:val="21"/>
        </w:rPr>
        <w:t>3. 术语和定义</w:t>
      </w:r>
      <w:bookmarkEnd w:id="7"/>
    </w:p>
    <w:p>
      <w:pPr>
        <w:pStyle w:val="26"/>
        <w:spacing w:line="360" w:lineRule="auto"/>
        <w:ind w:firstLine="420"/>
        <w:rPr>
          <w:rFonts w:ascii="Times New Roman"/>
          <w:szCs w:val="21"/>
        </w:rPr>
      </w:pPr>
      <w:r>
        <w:rPr>
          <w:rFonts w:hint="eastAsia" w:ascii="Times New Roman"/>
          <w:szCs w:val="21"/>
        </w:rPr>
        <w:t>GB/T 27024《合格评定人员认证机构通用要求》界定的以及下列文件中的术语和定义并适用于本文件。</w:t>
      </w:r>
    </w:p>
    <w:p>
      <w:pPr>
        <w:spacing w:line="360" w:lineRule="auto"/>
        <w:outlineLvl w:val="0"/>
        <w:rPr>
          <w:rFonts w:hint="eastAsia" w:ascii="黑体" w:hAnsi="黑体" w:eastAsia="黑体" w:cs="黑体"/>
          <w:b w:val="0"/>
          <w:bCs w:val="0"/>
          <w:kern w:val="0"/>
          <w:szCs w:val="21"/>
        </w:rPr>
      </w:pPr>
      <w:bookmarkStart w:id="8" w:name="_Toc30490"/>
      <w:r>
        <w:rPr>
          <w:rFonts w:hint="eastAsia" w:ascii="黑体" w:hAnsi="黑体" w:eastAsia="黑体" w:cs="黑体"/>
          <w:b w:val="0"/>
          <w:bCs w:val="0"/>
          <w:kern w:val="0"/>
          <w:szCs w:val="21"/>
        </w:rPr>
        <w:t>3. 1</w:t>
      </w:r>
      <w:bookmarkEnd w:id="8"/>
    </w:p>
    <w:p>
      <w:pPr>
        <w:spacing w:line="276" w:lineRule="auto"/>
        <w:ind w:left="-84" w:leftChars="-40" w:firstLine="525" w:firstLineChars="250"/>
        <w:outlineLvl w:val="0"/>
        <w:rPr>
          <w:rFonts w:ascii="Times New Roman" w:hAnsi="Times New Roman" w:eastAsia="宋体" w:cs="Times New Roman"/>
          <w:b/>
          <w:bCs/>
          <w:kern w:val="0"/>
          <w:szCs w:val="21"/>
        </w:rPr>
      </w:pPr>
      <w:bookmarkStart w:id="9" w:name="_Toc6110"/>
      <w:bookmarkStart w:id="10" w:name="_Toc29298"/>
      <w:bookmarkStart w:id="11" w:name="_Toc15340"/>
      <w:r>
        <w:rPr>
          <w:rFonts w:hint="eastAsia" w:ascii="黑体" w:hAnsi="黑体" w:eastAsia="黑体" w:cs="黑体"/>
          <w:b w:val="0"/>
          <w:bCs w:val="0"/>
          <w:kern w:val="0"/>
          <w:szCs w:val="21"/>
        </w:rPr>
        <w:t>网络空间安全专业人员</w:t>
      </w:r>
      <w:bookmarkEnd w:id="9"/>
      <w:bookmarkEnd w:id="10"/>
      <w:bookmarkEnd w:id="11"/>
      <w:r>
        <w:rPr>
          <w:rFonts w:hint="eastAsia" w:ascii="黑体" w:hAnsi="黑体" w:eastAsia="黑体" w:cs="黑体"/>
          <w:b w:val="0"/>
          <w:bCs w:val="0"/>
          <w:kern w:val="0"/>
          <w:szCs w:val="21"/>
        </w:rPr>
        <w:t xml:space="preserve"> </w:t>
      </w:r>
      <w:r>
        <w:rPr>
          <w:rFonts w:hint="eastAsia" w:ascii="Times New Roman" w:hAnsi="Times New Roman" w:eastAsia="宋体" w:cs="Times New Roman"/>
          <w:b/>
          <w:bCs/>
          <w:kern w:val="0"/>
          <w:szCs w:val="21"/>
        </w:rPr>
        <w:t xml:space="preserve"> </w:t>
      </w:r>
    </w:p>
    <w:p>
      <w:pPr>
        <w:pStyle w:val="26"/>
        <w:spacing w:line="360" w:lineRule="auto"/>
        <w:ind w:firstLine="420"/>
        <w:rPr>
          <w:rFonts w:ascii="Times New Roman"/>
          <w:szCs w:val="21"/>
        </w:rPr>
      </w:pPr>
      <w:r>
        <w:rPr>
          <w:rFonts w:hint="eastAsia" w:ascii="Times New Roman"/>
          <w:szCs w:val="21"/>
        </w:rPr>
        <w:t>从事网络空间安全相关工作的所有人员，如组织的管理人员（包括C</w:t>
      </w:r>
      <w:r>
        <w:rPr>
          <w:rFonts w:hint="eastAsia" w:ascii="Times New Roman"/>
          <w:szCs w:val="21"/>
          <w:lang w:eastAsia="zh-CN"/>
        </w:rPr>
        <w:t>H</w:t>
      </w:r>
      <w:r>
        <w:rPr>
          <w:rFonts w:hint="eastAsia" w:ascii="Times New Roman"/>
          <w:szCs w:val="21"/>
        </w:rPr>
        <w:t>O、CSO、科技管理部门和风险控制管理部门的人员）、</w:t>
      </w:r>
      <w:r>
        <w:rPr>
          <w:rFonts w:hint="eastAsia" w:ascii="Times New Roman"/>
          <w:szCs w:val="21"/>
          <w:lang w:eastAsia="zh-CN"/>
        </w:rPr>
        <w:t>H</w:t>
      </w:r>
      <w:r>
        <w:rPr>
          <w:rFonts w:hint="eastAsia" w:ascii="Times New Roman"/>
          <w:szCs w:val="21"/>
        </w:rPr>
        <w:t>T 相关的技术人员（包括运维、开发和集成人员），从事网络空间服务组织的技术人员（包括网络空间产品研发人员、网络空间咨询人员、网络空间服务实施人员和外派服务人员</w:t>
      </w:r>
      <w:r>
        <w:rPr>
          <w:rFonts w:hint="eastAsia" w:ascii="Times New Roman"/>
          <w:szCs w:val="21"/>
          <w:lang w:eastAsia="zh-CN"/>
        </w:rPr>
        <w:t>等</w:t>
      </w:r>
      <w:r>
        <w:rPr>
          <w:rFonts w:hint="eastAsia" w:ascii="Times New Roman"/>
          <w:szCs w:val="21"/>
        </w:rPr>
        <w:t>）。</w:t>
      </w:r>
    </w:p>
    <w:p>
      <w:pPr>
        <w:spacing w:line="360" w:lineRule="auto"/>
        <w:outlineLvl w:val="9"/>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2</w:t>
      </w:r>
    </w:p>
    <w:p>
      <w:pPr>
        <w:spacing w:line="360" w:lineRule="auto"/>
        <w:ind w:firstLine="420" w:firstLineChars="200"/>
        <w:outlineLvl w:val="0"/>
        <w:rPr>
          <w:rFonts w:hint="eastAsia" w:ascii="黑体" w:hAnsi="黑体" w:eastAsia="黑体" w:cs="黑体"/>
          <w:b w:val="0"/>
          <w:bCs w:val="0"/>
          <w:kern w:val="0"/>
          <w:szCs w:val="21"/>
        </w:rPr>
      </w:pPr>
      <w:bookmarkStart w:id="12" w:name="_Toc26225"/>
      <w:bookmarkStart w:id="13" w:name="_Toc29797"/>
      <w:bookmarkStart w:id="14" w:name="_Toc8203"/>
      <w:r>
        <w:rPr>
          <w:rFonts w:hint="eastAsia" w:ascii="黑体" w:hAnsi="黑体" w:eastAsia="黑体" w:cs="黑体"/>
          <w:b w:val="0"/>
          <w:bCs w:val="0"/>
          <w:kern w:val="0"/>
          <w:szCs w:val="21"/>
        </w:rPr>
        <w:t>获证人员</w:t>
      </w:r>
      <w:bookmarkEnd w:id="12"/>
      <w:bookmarkEnd w:id="13"/>
      <w:bookmarkEnd w:id="14"/>
      <w:r>
        <w:rPr>
          <w:rFonts w:hint="eastAsia" w:ascii="黑体" w:hAnsi="黑体" w:eastAsia="黑体" w:cs="黑体"/>
          <w:b w:val="0"/>
          <w:bCs w:val="0"/>
          <w:kern w:val="0"/>
          <w:szCs w:val="21"/>
        </w:rPr>
        <w:t xml:space="preserve">  </w:t>
      </w:r>
    </w:p>
    <w:p>
      <w:pPr>
        <w:pStyle w:val="26"/>
        <w:spacing w:line="360" w:lineRule="auto"/>
        <w:ind w:firstLine="420"/>
        <w:rPr>
          <w:rFonts w:ascii="Times New Roman"/>
          <w:szCs w:val="21"/>
        </w:rPr>
      </w:pPr>
      <w:r>
        <w:rPr>
          <w:rFonts w:hint="eastAsia" w:ascii="Times New Roman"/>
          <w:szCs w:val="21"/>
        </w:rPr>
        <w:t>通过网络空间专业人员考试和认证评价，获得或保持网络空间专业人员证书的人员。</w:t>
      </w:r>
    </w:p>
    <w:p>
      <w:pPr>
        <w:spacing w:line="360" w:lineRule="auto"/>
        <w:outlineLvl w:val="9"/>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3</w:t>
      </w:r>
    </w:p>
    <w:p>
      <w:pPr>
        <w:spacing w:line="360" w:lineRule="auto"/>
        <w:ind w:firstLine="420" w:firstLineChars="200"/>
        <w:outlineLvl w:val="0"/>
        <w:rPr>
          <w:rFonts w:hint="eastAsia" w:ascii="黑体" w:hAnsi="黑体" w:eastAsia="黑体" w:cs="黑体"/>
          <w:b w:val="0"/>
          <w:bCs w:val="0"/>
          <w:kern w:val="0"/>
          <w:szCs w:val="21"/>
        </w:rPr>
      </w:pPr>
      <w:bookmarkStart w:id="15" w:name="_Toc23662"/>
      <w:bookmarkStart w:id="16" w:name="_Toc25447"/>
      <w:bookmarkStart w:id="17" w:name="_Toc11544"/>
      <w:r>
        <w:rPr>
          <w:rFonts w:hint="eastAsia" w:ascii="黑体" w:hAnsi="黑体" w:eastAsia="黑体" w:cs="黑体"/>
          <w:b w:val="0"/>
          <w:bCs w:val="0"/>
          <w:kern w:val="0"/>
          <w:szCs w:val="21"/>
        </w:rPr>
        <w:t>工作经历</w:t>
      </w:r>
      <w:bookmarkEnd w:id="15"/>
      <w:bookmarkEnd w:id="16"/>
      <w:bookmarkEnd w:id="17"/>
      <w:r>
        <w:rPr>
          <w:rFonts w:hint="eastAsia" w:ascii="黑体" w:hAnsi="黑体" w:eastAsia="黑体" w:cs="黑体"/>
          <w:b w:val="0"/>
          <w:bCs w:val="0"/>
          <w:kern w:val="0"/>
          <w:szCs w:val="21"/>
        </w:rPr>
        <w:t xml:space="preserve">  </w:t>
      </w:r>
    </w:p>
    <w:p>
      <w:pPr>
        <w:pStyle w:val="26"/>
        <w:spacing w:line="360" w:lineRule="auto"/>
        <w:ind w:firstLine="420"/>
        <w:rPr>
          <w:rFonts w:ascii="Times New Roman"/>
          <w:szCs w:val="21"/>
        </w:rPr>
      </w:pPr>
      <w:r>
        <w:rPr>
          <w:rFonts w:hint="eastAsia" w:ascii="Times New Roman"/>
          <w:szCs w:val="21"/>
        </w:rPr>
        <w:t>取得相应学历后的所有工作</w:t>
      </w:r>
      <w:r>
        <w:rPr>
          <w:rFonts w:hint="eastAsia" w:ascii="Times New Roman"/>
          <w:szCs w:val="21"/>
          <w:lang w:eastAsia="zh-CN"/>
        </w:rPr>
        <w:t>历史</w:t>
      </w:r>
      <w:r>
        <w:rPr>
          <w:rFonts w:hint="eastAsia" w:ascii="Times New Roman"/>
          <w:szCs w:val="21"/>
        </w:rPr>
        <w:t>，无论是有偿的还是无偿的，全职的还是兼职的，不包括实习经历。</w:t>
      </w:r>
    </w:p>
    <w:p>
      <w:pPr>
        <w:spacing w:line="360" w:lineRule="auto"/>
        <w:outlineLvl w:val="9"/>
        <w:rPr>
          <w:rFonts w:ascii="Times New Roman" w:hAnsi="Times New Roman" w:eastAsia="宋体" w:cs="Times New Roman"/>
          <w:b/>
          <w:bCs/>
          <w:kern w:val="0"/>
          <w:szCs w:val="21"/>
        </w:rPr>
      </w:pPr>
      <w:bookmarkStart w:id="18" w:name="OLE_LINK8"/>
      <w:r>
        <w:rPr>
          <w:rFonts w:hint="eastAsia" w:ascii="Times New Roman" w:hAnsi="Times New Roman" w:eastAsia="宋体" w:cs="Times New Roman"/>
          <w:b/>
          <w:bCs/>
          <w:kern w:val="0"/>
          <w:szCs w:val="21"/>
        </w:rPr>
        <w:t>3.</w:t>
      </w:r>
      <w:r>
        <w:rPr>
          <w:rFonts w:ascii="Times New Roman" w:hAnsi="Times New Roman" w:eastAsia="宋体" w:cs="Times New Roman"/>
          <w:b/>
          <w:bCs/>
          <w:kern w:val="0"/>
          <w:szCs w:val="21"/>
        </w:rPr>
        <w:t xml:space="preserve"> </w:t>
      </w:r>
      <w:r>
        <w:rPr>
          <w:rFonts w:hint="eastAsia" w:ascii="Times New Roman" w:hAnsi="Times New Roman" w:eastAsia="宋体" w:cs="Times New Roman"/>
          <w:b/>
          <w:bCs/>
          <w:kern w:val="0"/>
          <w:szCs w:val="21"/>
        </w:rPr>
        <w:t>4</w:t>
      </w:r>
    </w:p>
    <w:p>
      <w:pPr>
        <w:spacing w:line="360" w:lineRule="auto"/>
        <w:ind w:firstLine="420" w:firstLineChars="200"/>
        <w:rPr>
          <w:rFonts w:hint="eastAsia" w:ascii="黑体" w:hAnsi="黑体" w:eastAsia="黑体" w:cs="黑体"/>
          <w:b w:val="0"/>
          <w:bCs w:val="0"/>
          <w:kern w:val="0"/>
          <w:szCs w:val="21"/>
        </w:rPr>
      </w:pPr>
      <w:bookmarkStart w:id="19" w:name="_Toc23087_WPSOffice_Level2"/>
      <w:r>
        <w:rPr>
          <w:rFonts w:hint="eastAsia" w:ascii="黑体" w:hAnsi="黑体" w:eastAsia="黑体" w:cs="黑体"/>
          <w:b w:val="0"/>
          <w:bCs w:val="0"/>
          <w:kern w:val="0"/>
          <w:szCs w:val="21"/>
        </w:rPr>
        <w:t>第三方认证机构</w:t>
      </w:r>
      <w:bookmarkEnd w:id="18"/>
      <w:r>
        <w:rPr>
          <w:rFonts w:hint="eastAsia" w:ascii="黑体" w:hAnsi="黑体" w:eastAsia="黑体" w:cs="黑体"/>
          <w:b w:val="0"/>
          <w:bCs w:val="0"/>
          <w:kern w:val="0"/>
          <w:szCs w:val="21"/>
        </w:rPr>
        <w:t xml:space="preserve"> </w:t>
      </w:r>
      <w:bookmarkEnd w:id="19"/>
    </w:p>
    <w:p>
      <w:pPr>
        <w:pStyle w:val="26"/>
        <w:spacing w:line="360" w:lineRule="auto"/>
        <w:ind w:firstLine="420"/>
        <w:rPr>
          <w:rFonts w:hint="eastAsia" w:ascii="Times New Roman"/>
          <w:szCs w:val="21"/>
        </w:rPr>
      </w:pPr>
      <w:r>
        <w:rPr>
          <w:rFonts w:hint="eastAsia" w:ascii="Times New Roman"/>
          <w:szCs w:val="21"/>
        </w:rPr>
        <w:t>独立于网络空间服务相关方的专业认证机构。</w:t>
      </w:r>
    </w:p>
    <w:p>
      <w:pPr>
        <w:spacing w:line="360" w:lineRule="auto"/>
        <w:outlineLvl w:val="9"/>
        <w:rPr>
          <w:rFonts w:hint="default" w:ascii="Times New Roman" w:hAnsi="Times New Roman" w:eastAsia="宋体" w:cs="Times New Roman"/>
          <w:b/>
          <w:bCs/>
          <w:kern w:val="0"/>
          <w:szCs w:val="21"/>
          <w:lang w:val="en-US" w:eastAsia="zh-CN"/>
        </w:rPr>
      </w:pPr>
      <w:r>
        <w:rPr>
          <w:rFonts w:hint="eastAsia" w:ascii="Times New Roman" w:hAnsi="Times New Roman" w:eastAsia="宋体" w:cs="Times New Roman"/>
          <w:b/>
          <w:bCs/>
          <w:kern w:val="0"/>
          <w:szCs w:val="21"/>
          <w:lang w:val="en-US" w:eastAsia="zh-CN"/>
        </w:rPr>
        <w:t>3.5</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rPr>
      </w:pPr>
      <w:r>
        <w:rPr>
          <w:rFonts w:hint="eastAsia" w:ascii="黑体" w:hAnsi="黑体" w:eastAsia="黑体" w:cs="黑体"/>
          <w:kern w:val="0"/>
          <w:lang w:eastAsia="zh-CN"/>
        </w:rPr>
        <w:t>网络</w:t>
      </w:r>
      <w:r>
        <w:rPr>
          <w:rFonts w:hint="eastAsia" w:ascii="黑体" w:hAnsi="黑体" w:eastAsia="黑体" w:cs="黑体"/>
          <w:kern w:val="0"/>
        </w:rPr>
        <w:t>安全风险</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kern w:val="0"/>
        </w:rPr>
      </w:pPr>
      <w:r>
        <w:rPr>
          <w:rFonts w:hint="eastAsia" w:ascii="宋体" w:hAnsi="宋体" w:eastAsia="宋体" w:cs="宋体"/>
          <w:kern w:val="0"/>
        </w:rPr>
        <w:t>人为或自然的威胁利用信息系统及其管理体系中存在的脆弱性导致安全事件的发生及其对组织造成的影响。</w:t>
      </w:r>
      <w:r>
        <w:rPr>
          <w:rFonts w:hint="eastAsia"/>
          <w:kern w:val="0"/>
        </w:rPr>
        <w:t>安全事件所涉及的资产价值来判断安全事件一旦发生对组织造成的影响 。</w:t>
      </w:r>
    </w:p>
    <w:p>
      <w:pPr>
        <w:spacing w:line="360" w:lineRule="auto"/>
        <w:outlineLvl w:val="9"/>
        <w:rPr>
          <w:rFonts w:hint="eastAsia" w:ascii="Times New Roman" w:hAnsi="Times New Roman" w:eastAsia="宋体" w:cs="Times New Roman"/>
          <w:b/>
          <w:bCs/>
          <w:kern w:val="0"/>
          <w:szCs w:val="21"/>
          <w:lang w:val="en-US" w:eastAsia="zh-CN"/>
        </w:rPr>
      </w:pPr>
      <w:r>
        <w:rPr>
          <w:rFonts w:hint="eastAsia" w:ascii="Times New Roman" w:hAnsi="Times New Roman" w:eastAsia="宋体" w:cs="Times New Roman"/>
          <w:b/>
          <w:bCs/>
          <w:kern w:val="0"/>
          <w:szCs w:val="21"/>
          <w:lang w:val="en-US" w:eastAsia="zh-CN"/>
        </w:rPr>
        <w:t>3.6</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lang w:eastAsia="zh-CN"/>
        </w:rPr>
      </w:pPr>
      <w:r>
        <w:rPr>
          <w:rFonts w:hint="eastAsia" w:ascii="黑体" w:hAnsi="黑体" w:eastAsia="黑体" w:cs="黑体"/>
          <w:kern w:val="0"/>
          <w:lang w:eastAsia="zh-CN"/>
        </w:rPr>
        <w:t xml:space="preserve">网络安全风险管理 </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rPr>
      </w:pPr>
      <w:r>
        <w:rPr>
          <w:rFonts w:hint="eastAsia" w:ascii="宋体" w:hAnsi="宋体" w:eastAsia="宋体" w:cs="宋体"/>
          <w:kern w:val="0"/>
          <w:lang w:eastAsia="zh-CN"/>
        </w:rPr>
        <w:t xml:space="preserve">依据有关信息安全技术与管理标准 ，对信息系统及由其处理 、传输和存储的信息的保密性 、完整性和可用性等安全属性进行评价的过程。它要评估资产面临的威胁以及威胁利用脆弱性导致安全事件的可能性 ，并结合安全事件所涉及的资产价值来判断安全事件一旦发生对组织造成的影响。 </w:t>
      </w:r>
    </w:p>
    <w:p>
      <w:pPr>
        <w:spacing w:line="360" w:lineRule="auto"/>
        <w:outlineLvl w:val="9"/>
        <w:rPr>
          <w:rFonts w:hint="default" w:ascii="Times New Roman" w:hAnsi="Times New Roman" w:eastAsia="宋体" w:cs="Times New Roman"/>
          <w:b/>
          <w:bCs/>
          <w:kern w:val="0"/>
          <w:szCs w:val="21"/>
          <w:lang w:val="en-US" w:eastAsia="zh-CN"/>
        </w:rPr>
      </w:pPr>
      <w:r>
        <w:rPr>
          <w:rFonts w:hint="eastAsia" w:ascii="Times New Roman" w:hAnsi="Times New Roman" w:eastAsia="宋体" w:cs="Times New Roman"/>
          <w:b/>
          <w:bCs/>
          <w:kern w:val="0"/>
          <w:szCs w:val="21"/>
          <w:lang w:val="en-US" w:eastAsia="zh-CN"/>
        </w:rPr>
        <w:t>3.7</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rPr>
      </w:pPr>
      <w:r>
        <w:rPr>
          <w:rFonts w:hint="eastAsia" w:ascii="黑体" w:hAnsi="黑体" w:eastAsia="黑体" w:cs="黑体"/>
          <w:kern w:val="0"/>
        </w:rPr>
        <w:t>网络安全规划设计</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rPr>
      </w:pPr>
      <w:r>
        <w:rPr>
          <w:rFonts w:hint="eastAsia" w:ascii="宋体" w:hAnsi="宋体" w:eastAsia="宋体" w:cs="宋体"/>
          <w:kern w:val="0"/>
        </w:rPr>
        <w:t>是指综合运用计算机软、硬件技术、网络通信技术、密码技术、信息安全技术，在企业、系统或项目的设计规划阶段，提出综合性的解决方案，以保障网络系统及其所承载的数据的保密性、完整性及可用性。</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color w:val="auto"/>
          <w:kern w:val="0"/>
          <w:lang w:val="en-US" w:eastAsia="zh-CN"/>
        </w:rPr>
      </w:pPr>
      <w:r>
        <w:rPr>
          <w:rFonts w:hint="eastAsia" w:ascii="黑体" w:hAnsi="黑体" w:eastAsia="黑体" w:cs="黑体"/>
          <w:color w:val="auto"/>
          <w:kern w:val="0"/>
          <w:lang w:val="en-US" w:eastAsia="zh-CN"/>
        </w:rPr>
        <w:t>3.8</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color w:val="auto"/>
          <w:kern w:val="0"/>
        </w:rPr>
      </w:pPr>
      <w:r>
        <w:rPr>
          <w:rFonts w:hint="eastAsia" w:ascii="黑体" w:hAnsi="黑体" w:eastAsia="黑体" w:cs="黑体"/>
          <w:color w:val="auto"/>
          <w:kern w:val="0"/>
        </w:rPr>
        <w:t>物联网安全</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color w:val="auto"/>
          <w:kern w:val="0"/>
        </w:rPr>
      </w:pPr>
      <w:r>
        <w:rPr>
          <w:rFonts w:hint="eastAsia"/>
          <w:color w:val="auto"/>
          <w:kern w:val="0"/>
        </w:rPr>
        <w:t>物联网安全指能够对物联网络的访问加以控制、确定用户（如抽象的有权限的账号、人、物联网络端、物联网端节点或物联网接入网关）身份真实有效以及私密性、保证用户行为不可抵赖、保证传输和存储数据的机密性、完整性、保证物联网的可用性、防止网络、业务遇到偶然的、被动的和主动的威胁以及病毒的扩散的技术和管理措施，以及对影响网络、业务的意外事故的应对措施。</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default" w:ascii="黑体" w:hAnsi="黑体" w:eastAsia="黑体" w:cs="黑体"/>
          <w:kern w:val="0"/>
          <w:lang w:val="en-US" w:eastAsia="zh-CN"/>
        </w:rPr>
      </w:pPr>
      <w:r>
        <w:rPr>
          <w:rFonts w:hint="eastAsia" w:ascii="黑体" w:hAnsi="黑体" w:eastAsia="黑体" w:cs="黑体"/>
          <w:kern w:val="0"/>
          <w:lang w:val="en-US" w:eastAsia="zh-CN"/>
        </w:rPr>
        <w:t>3.9</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黑体" w:hAnsi="黑体" w:eastAsia="黑体" w:cs="黑体"/>
          <w:kern w:val="0"/>
        </w:rPr>
      </w:pPr>
      <w:r>
        <w:rPr>
          <w:rFonts w:hint="eastAsia" w:ascii="黑体" w:hAnsi="黑体" w:eastAsia="黑体" w:cs="黑体"/>
          <w:kern w:val="0"/>
        </w:rPr>
        <w:t>物联网漏洞</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Times New Roman" w:eastAsia="宋体" w:cs="Times New Roman"/>
          <w:kern w:val="0"/>
          <w:szCs w:val="21"/>
        </w:rPr>
      </w:pPr>
      <w:r>
        <w:rPr>
          <w:rFonts w:hint="eastAsia"/>
          <w:kern w:val="0"/>
        </w:rPr>
        <w:t>设备在物理防护、软件质量、配置、通信协议选择与实现的适用性等方</w:t>
      </w:r>
      <w:r>
        <w:rPr>
          <w:rFonts w:hint="eastAsia" w:ascii="Times New Roman" w:hAnsi="Times New Roman" w:eastAsia="宋体" w:cs="Times New Roman"/>
          <w:kern w:val="0"/>
          <w:szCs w:val="21"/>
        </w:rPr>
        <w:t>面的缺陷。</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3.10</w:t>
      </w:r>
    </w:p>
    <w:p>
      <w:pPr>
        <w:pStyle w:val="29"/>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黑体" w:hAnsi="黑体" w:eastAsia="黑体" w:cs="黑体"/>
          <w:kern w:val="0"/>
        </w:rPr>
      </w:pPr>
      <w:r>
        <w:rPr>
          <w:rFonts w:hint="eastAsia" w:ascii="黑体" w:hAnsi="黑体" w:eastAsia="黑体" w:cs="黑体"/>
          <w:kern w:val="0"/>
        </w:rPr>
        <w:t>渗透测试</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kern w:val="0"/>
        </w:rPr>
      </w:pPr>
      <w:r>
        <w:rPr>
          <w:rFonts w:hint="eastAsia"/>
          <w:kern w:val="0"/>
        </w:rPr>
        <w:t>模拟黑客攻击的手法，进行的非破坏性的攻击性测试，以期发现可能被黑客利用对系统进行入侵的安全漏洞和隐患及攻击路径，并将入侵的过程和漏洞细节产生报告给服务对象，提出详细、合理的修复建议，指导其进行整改，清除安全隐患，降低安全风险，为服务对象信息系统的平稳运行提供安全保障。</w:t>
      </w:r>
    </w:p>
    <w:p>
      <w:pPr>
        <w:pStyle w:val="29"/>
        <w:keepNext w:val="0"/>
        <w:keepLines w:val="0"/>
        <w:pageBreakBefore w:val="0"/>
        <w:widowControl w:val="0"/>
        <w:kinsoku/>
        <w:wordWrap/>
        <w:overflowPunct/>
        <w:topLinePunct w:val="0"/>
        <w:autoSpaceDE/>
        <w:autoSpaceDN/>
        <w:bidi w:val="0"/>
        <w:adjustRightInd w:val="0"/>
        <w:snapToGrid w:val="0"/>
        <w:spacing w:before="160" w:beforeLines="50" w:line="360" w:lineRule="auto"/>
        <w:ind w:left="0" w:leftChars="0" w:firstLine="0" w:firstLineChars="0"/>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3.11</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color w:val="auto"/>
          <w:kern w:val="0"/>
          <w:lang w:eastAsia="zh-CN"/>
        </w:rPr>
      </w:pPr>
      <w:r>
        <w:rPr>
          <w:rFonts w:hint="eastAsia" w:ascii="黑体" w:hAnsi="黑体" w:eastAsia="黑体" w:cs="黑体"/>
          <w:color w:val="auto"/>
          <w:kern w:val="0"/>
        </w:rPr>
        <w:t>云计算</w:t>
      </w:r>
      <w:r>
        <w:rPr>
          <w:rFonts w:hint="eastAsia" w:ascii="黑体" w:hAnsi="黑体" w:eastAsia="黑体" w:cs="黑体"/>
          <w:color w:val="auto"/>
          <w:kern w:val="0"/>
          <w:lang w:eastAsia="zh-CN"/>
        </w:rPr>
        <w:t>安全</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eastAsia="宋体"/>
          <w:color w:val="ED7D31" w:themeColor="accent2"/>
          <w:kern w:val="0"/>
          <w:lang w:eastAsia="zh-CN"/>
          <w14:textFill>
            <w14:solidFill>
              <w14:schemeClr w14:val="accent2"/>
            </w14:solidFill>
          </w14:textFill>
        </w:rPr>
      </w:pPr>
      <w:r>
        <w:rPr>
          <w:rFonts w:hint="eastAsia"/>
          <w:color w:val="auto"/>
          <w:kern w:val="0"/>
        </w:rPr>
        <w:t>云计算安全或云安全指一系列用于保护云计算数据、应用和相关结构的策略、技术和控制的集合，属于计算机安全、网络安全的子领域，或更广泛地说属于信息安全的子领域</w:t>
      </w:r>
      <w:r>
        <w:rPr>
          <w:rFonts w:hint="eastAsia"/>
          <w:color w:val="auto"/>
          <w:kern w:val="0"/>
          <w:lang w:eastAsia="zh-CN"/>
        </w:rPr>
        <w:t>。</w:t>
      </w:r>
    </w:p>
    <w:p>
      <w:pPr>
        <w:pStyle w:val="29"/>
        <w:keepNext w:val="0"/>
        <w:keepLines w:val="0"/>
        <w:pageBreakBefore w:val="0"/>
        <w:widowControl w:val="0"/>
        <w:kinsoku/>
        <w:wordWrap/>
        <w:overflowPunct/>
        <w:topLinePunct w:val="0"/>
        <w:autoSpaceDE/>
        <w:autoSpaceDN/>
        <w:bidi w:val="0"/>
        <w:adjustRightInd w:val="0"/>
        <w:snapToGrid w:val="0"/>
        <w:spacing w:before="160" w:beforeLines="50" w:line="360" w:lineRule="auto"/>
        <w:ind w:left="0" w:leftChars="0" w:firstLine="0" w:firstLineChars="0"/>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3.12</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信息系统安全运维</w:t>
      </w:r>
    </w:p>
    <w:p>
      <w:pPr>
        <w:pStyle w:val="11"/>
        <w:spacing w:line="440" w:lineRule="exact"/>
        <w:ind w:firstLine="404" w:firstLineChars="200"/>
        <w:jc w:val="both"/>
        <w:rPr>
          <w:rFonts w:hint="eastAsia" w:ascii="宋体" w:hAnsi="宋体" w:eastAsia="宋体" w:cs="宋体"/>
          <w:spacing w:val="-4"/>
          <w:lang w:eastAsia="zh-CN"/>
        </w:rPr>
      </w:pPr>
      <w:r>
        <w:rPr>
          <w:rFonts w:hint="eastAsia" w:ascii="宋体" w:hAnsi="宋体" w:eastAsia="宋体" w:cs="宋体"/>
          <w:spacing w:val="-4"/>
          <w:lang w:eastAsia="zh-CN"/>
        </w:rPr>
        <w:t>为保障和提升服务对象的信息系统安全防护能力，及时解决出现的网络安全问题，由服务机构通过管理与技术手段提供的网络安全服务。主要包括安全巡检、病毒查杀、备份和恢复、安全审计、安全优化、渗透测试、风险评估等。</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3.13</w:t>
      </w:r>
    </w:p>
    <w:p>
      <w:pPr>
        <w:pStyle w:val="11"/>
        <w:snapToGrid w:val="0"/>
        <w:spacing w:line="440" w:lineRule="exact"/>
        <w:ind w:firstLine="404" w:firstLineChars="200"/>
        <w:rPr>
          <w:spacing w:val="-4"/>
          <w:lang w:eastAsia="zh-CN"/>
        </w:rPr>
      </w:pPr>
      <w:r>
        <w:rPr>
          <w:rFonts w:hint="eastAsia"/>
          <w:spacing w:val="-4"/>
          <w:lang w:eastAsia="zh-CN"/>
        </w:rPr>
        <w:t>软件安全开发</w:t>
      </w:r>
    </w:p>
    <w:p>
      <w:pPr>
        <w:pStyle w:val="11"/>
        <w:snapToGrid w:val="0"/>
        <w:spacing w:line="440" w:lineRule="exact"/>
        <w:ind w:firstLine="404" w:firstLineChars="200"/>
        <w:rPr>
          <w:spacing w:val="-4"/>
          <w:lang w:eastAsia="zh-CN"/>
        </w:rPr>
      </w:pPr>
      <w:r>
        <w:rPr>
          <w:rFonts w:hint="eastAsia" w:ascii="宋体" w:hAnsi="宋体" w:eastAsia="宋体" w:cs="宋体"/>
          <w:spacing w:val="-4"/>
          <w:lang w:eastAsia="zh-CN"/>
        </w:rPr>
        <w:t>为解决软件产品的漏洞问题，而将安全活动集成到系统开发和软件质量保证活动中， 在软件开发的每个关键点嵌入安全要素，通过安全需求分析、安全设计、安全编码、安全测试等专业手段，解决各阶段可能出现的安全问题，有效减少软件产品潜在的漏洞数量提高软件产品安全质量的活动。</w:t>
      </w:r>
    </w:p>
    <w:p>
      <w:pPr>
        <w:ind w:left="0" w:leftChars="0" w:firstLine="0" w:firstLineChars="0"/>
        <w:rPr>
          <w:rFonts w:hint="eastAsia"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3.14</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网络安全应急响应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是指在突发重大网络安全事件后对包括计算机运行在内的业务运行进行维持或恢复的各种技术和管理策略与规程。</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3.15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信息</w:t>
      </w:r>
      <w:r>
        <w:rPr>
          <w:rFonts w:hint="eastAsia" w:cs="Times New Roman"/>
          <w:color w:val="000000" w:themeColor="text1"/>
          <w:sz w:val="21"/>
          <w:szCs w:val="21"/>
          <w:lang w:eastAsia="zh-CN"/>
          <w14:textFill>
            <w14:solidFill>
              <w14:schemeClr w14:val="tx1"/>
            </w14:solidFill>
          </w14:textFill>
        </w:rPr>
        <w:t>系统</w:t>
      </w:r>
      <w:r>
        <w:rPr>
          <w:rFonts w:hint="eastAsia" w:cs="Times New Roman"/>
          <w:color w:val="000000" w:themeColor="text1"/>
          <w:sz w:val="21"/>
          <w:szCs w:val="21"/>
          <w14:textFill>
            <w14:solidFill>
              <w14:schemeClr w14:val="tx1"/>
            </w14:solidFill>
          </w14:textFill>
        </w:rPr>
        <w:t>安全集成</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04" w:firstLineChars="200"/>
        <w:textAlignment w:val="auto"/>
        <w:rPr>
          <w:rFonts w:hint="eastAsia" w:ascii="宋体" w:hAnsi="宋体" w:eastAsia="宋体" w:cs="宋体"/>
          <w:spacing w:val="-4"/>
          <w:lang w:eastAsia="zh-CN"/>
        </w:rPr>
      </w:pPr>
      <w:r>
        <w:rPr>
          <w:rFonts w:hint="eastAsia" w:ascii="宋体" w:hAnsi="宋体" w:eastAsia="宋体" w:cs="宋体"/>
          <w:spacing w:val="-4"/>
          <w:lang w:eastAsia="zh-CN"/>
        </w:rPr>
        <w:t xml:space="preserve"> 按照信息系统的安全需求，采用信息系统安全工程的方法和理论，将安全单元、产品部件进行集成的统一和协调的系统之中，使资源达到充分共享，实现集中、高效、便利的管理，从而使建设完成后的信息系统满足建设方或使用方的安全需求而开展的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val="0"/>
          <w:bCs w:val="0"/>
          <w:kern w:val="0"/>
          <w:szCs w:val="21"/>
        </w:rPr>
      </w:pPr>
      <w:bookmarkStart w:id="20" w:name="_Toc14298"/>
      <w:r>
        <w:rPr>
          <w:rFonts w:hint="eastAsia" w:ascii="黑体" w:hAnsi="黑体" w:eastAsia="黑体" w:cs="黑体"/>
          <w:b w:val="0"/>
          <w:bCs w:val="0"/>
          <w:kern w:val="0"/>
          <w:szCs w:val="21"/>
        </w:rPr>
        <w:t>4. 认证类别、专业方向及级别划分</w:t>
      </w:r>
      <w:bookmarkEnd w:id="20"/>
    </w:p>
    <w:p>
      <w:pPr>
        <w:pStyle w:val="26"/>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outlineLvl w:val="1"/>
        <w:rPr>
          <w:rFonts w:hint="eastAsia" w:ascii="黑体" w:hAnsi="黑体" w:eastAsia="黑体" w:cs="黑体"/>
          <w:szCs w:val="21"/>
          <w:lang w:val="en-US" w:eastAsia="zh-CN"/>
        </w:rPr>
      </w:pPr>
      <w:bookmarkStart w:id="21" w:name="_Toc10105"/>
      <w:r>
        <w:rPr>
          <w:rFonts w:hint="eastAsia" w:ascii="黑体" w:hAnsi="黑体" w:eastAsia="黑体" w:cs="黑体"/>
          <w:szCs w:val="21"/>
          <w:lang w:val="en-US" w:eastAsia="zh-CN"/>
        </w:rPr>
        <w:t>4.1 认证类别</w:t>
      </w:r>
      <w:bookmarkEnd w:id="21"/>
    </w:p>
    <w:p>
      <w:pPr>
        <w:pStyle w:val="26"/>
        <w:spacing w:line="360" w:lineRule="auto"/>
        <w:ind w:firstLine="420"/>
        <w:rPr>
          <w:rFonts w:ascii="Times New Roman"/>
          <w:szCs w:val="21"/>
        </w:rPr>
      </w:pPr>
      <w:r>
        <w:rPr>
          <w:rFonts w:hint="eastAsia" w:ascii="Times New Roman"/>
          <w:szCs w:val="21"/>
        </w:rPr>
        <w:t>网络空间安全专业人员共分3个类别，包括管理类、运营类、技术类，</w:t>
      </w:r>
      <w:r>
        <w:rPr>
          <w:rFonts w:hint="eastAsia" w:ascii="Times New Roman"/>
          <w:szCs w:val="21"/>
          <w:lang w:eastAsia="zh-CN"/>
        </w:rPr>
        <w:t>共</w:t>
      </w:r>
      <w:r>
        <w:rPr>
          <w:rFonts w:ascii="Times New Roman"/>
          <w:szCs w:val="21"/>
        </w:rPr>
        <w:t>18</w:t>
      </w:r>
      <w:r>
        <w:rPr>
          <w:rFonts w:hint="eastAsia" w:ascii="Times New Roman"/>
          <w:szCs w:val="21"/>
        </w:rPr>
        <w:t>个专业方向。管理类包括网络安全审计、网络安全风险管理、个人信息安全保护、舆情监测等4个方向，运营类包括监测预警、网络安全规划设计、信息系统安全运维、网络安全应急相应等</w:t>
      </w:r>
      <w:r>
        <w:rPr>
          <w:rFonts w:hint="eastAsia" w:ascii="Times New Roman"/>
          <w:szCs w:val="21"/>
          <w:lang w:val="en-US" w:eastAsia="zh-CN"/>
        </w:rPr>
        <w:t>4</w:t>
      </w:r>
      <w:r>
        <w:rPr>
          <w:rFonts w:hint="eastAsia" w:ascii="Times New Roman"/>
          <w:szCs w:val="21"/>
        </w:rPr>
        <w:t>个方向，技术类包括云计算安全、软件安全开发、工业互联网安全、信息安全集成、渗透测试、大数据安全、密码技术、人工智能安全、物联网安全等9个方向；认证方向具体描述见附录A。</w:t>
      </w:r>
    </w:p>
    <w:p>
      <w:pPr>
        <w:pStyle w:val="26"/>
        <w:spacing w:line="360" w:lineRule="auto"/>
        <w:ind w:left="0" w:leftChars="0" w:firstLine="0" w:firstLineChars="0"/>
        <w:outlineLvl w:val="1"/>
        <w:rPr>
          <w:rFonts w:hint="eastAsia" w:ascii="Times New Roman"/>
          <w:szCs w:val="21"/>
          <w:lang w:val="en-US" w:eastAsia="zh-CN"/>
        </w:rPr>
      </w:pPr>
      <w:bookmarkStart w:id="22" w:name="_Toc23963"/>
      <w:r>
        <w:rPr>
          <w:rFonts w:hint="eastAsia" w:ascii="黑体" w:hAnsi="黑体" w:eastAsia="黑体" w:cs="黑体"/>
          <w:szCs w:val="21"/>
          <w:lang w:val="en-US" w:eastAsia="zh-CN"/>
        </w:rPr>
        <w:t>4.2 级别划分</w:t>
      </w:r>
      <w:bookmarkEnd w:id="22"/>
    </w:p>
    <w:p>
      <w:pPr>
        <w:pStyle w:val="26"/>
        <w:spacing w:line="360" w:lineRule="auto"/>
        <w:ind w:firstLine="420"/>
        <w:rPr>
          <w:rFonts w:ascii="Times New Roman"/>
          <w:szCs w:val="21"/>
        </w:rPr>
      </w:pPr>
      <w:r>
        <w:rPr>
          <w:rFonts w:hint="eastAsia" w:ascii="Times New Roman"/>
          <w:szCs w:val="21"/>
        </w:rPr>
        <w:t>网络空间安全专业人员共设置五个级别，一至五级，其中一级最低、五级最高，一、二级不分专业方向，三、四、五级分专业方向。</w:t>
      </w:r>
    </w:p>
    <w:p>
      <w:pPr>
        <w:spacing w:line="360" w:lineRule="auto"/>
        <w:ind w:firstLine="630" w:firstLineChars="300"/>
        <w:jc w:val="center"/>
        <w:rPr>
          <w:rFonts w:ascii="Songti SC Light" w:hAnsi="Songti SC Light" w:eastAsia="Songti SC Light"/>
          <w:color w:val="000000" w:themeColor="text1"/>
          <w:szCs w:val="21"/>
          <w14:textFill>
            <w14:solidFill>
              <w14:schemeClr w14:val="tx1"/>
            </w14:solidFill>
          </w14:textFill>
        </w:rPr>
      </w:pPr>
      <w:r>
        <w:rPr>
          <w:rFonts w:hint="eastAsia" w:ascii="Songti SC Light" w:hAnsi="Songti SC Light" w:eastAsia="Songti SC Light"/>
          <w:color w:val="000000" w:themeColor="text1"/>
          <w:szCs w:val="21"/>
          <w14:textFill>
            <w14:solidFill>
              <w14:schemeClr w14:val="tx1"/>
            </w14:solidFill>
          </w14:textFill>
        </w:rPr>
        <w:t>表1-1</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12"/>
        <w:gridCol w:w="829"/>
        <w:gridCol w:w="829"/>
        <w:gridCol w:w="829"/>
        <w:gridCol w:w="829"/>
        <w:gridCol w:w="829"/>
        <w:gridCol w:w="829"/>
        <w:gridCol w:w="829"/>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spacing w:line="360" w:lineRule="auto"/>
              <w:jc w:val="center"/>
              <w:rPr>
                <w:rFonts w:hint="eastAsia" w:ascii="黑体" w:hAnsi="黑体" w:eastAsia="黑体" w:cs="黑体"/>
                <w:kern w:val="0"/>
                <w:sz w:val="18"/>
                <w:szCs w:val="18"/>
              </w:rPr>
            </w:pPr>
            <w:r>
              <w:rPr>
                <w:rFonts w:hint="eastAsia" w:ascii="黑体" w:hAnsi="黑体" w:eastAsia="黑体" w:cs="黑体"/>
                <w:kern w:val="0"/>
                <w:sz w:val="18"/>
                <w:szCs w:val="18"/>
              </w:rPr>
              <w:t>类别</w:t>
            </w:r>
          </w:p>
        </w:tc>
        <w:tc>
          <w:tcPr>
            <w:tcW w:w="3299" w:type="dxa"/>
            <w:gridSpan w:val="4"/>
          </w:tcPr>
          <w:p>
            <w:pPr>
              <w:spacing w:line="360" w:lineRule="auto"/>
              <w:jc w:val="center"/>
              <w:rPr>
                <w:rFonts w:hint="eastAsia" w:ascii="黑体" w:hAnsi="黑体" w:eastAsia="黑体" w:cs="黑体"/>
                <w:kern w:val="0"/>
                <w:sz w:val="18"/>
                <w:szCs w:val="18"/>
              </w:rPr>
            </w:pPr>
            <w:r>
              <w:rPr>
                <w:rFonts w:hint="eastAsia" w:ascii="黑体" w:hAnsi="黑体" w:eastAsia="黑体" w:cs="黑体"/>
                <w:kern w:val="0"/>
                <w:sz w:val="18"/>
                <w:szCs w:val="18"/>
              </w:rPr>
              <w:t>管理类</w:t>
            </w:r>
          </w:p>
        </w:tc>
        <w:tc>
          <w:tcPr>
            <w:tcW w:w="4841" w:type="dxa"/>
            <w:gridSpan w:val="5"/>
          </w:tcPr>
          <w:p>
            <w:pPr>
              <w:spacing w:line="360" w:lineRule="auto"/>
              <w:jc w:val="center"/>
              <w:rPr>
                <w:rFonts w:hint="eastAsia" w:ascii="黑体" w:hAnsi="黑体" w:eastAsia="黑体" w:cs="黑体"/>
                <w:kern w:val="0"/>
                <w:sz w:val="18"/>
                <w:szCs w:val="18"/>
              </w:rPr>
            </w:pPr>
            <w:r>
              <w:rPr>
                <w:rFonts w:hint="eastAsia" w:ascii="黑体" w:hAnsi="黑体" w:eastAsia="黑体" w:cs="黑体"/>
                <w:kern w:val="0"/>
                <w:sz w:val="18"/>
                <w:szCs w:val="18"/>
              </w:rPr>
              <w:t>运营类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46" w:type="dxa"/>
          </w:tcPr>
          <w:p>
            <w:pPr>
              <w:keepNext w:val="0"/>
              <w:keepLines w:val="0"/>
              <w:pageBreakBefore w:val="0"/>
              <w:widowControl w:val="0"/>
              <w:kinsoku/>
              <w:wordWrap/>
              <w:overflowPunct/>
              <w:topLinePunct w:val="0"/>
              <w:autoSpaceDE/>
              <w:autoSpaceDN/>
              <w:bidi w:val="0"/>
              <w:adjustRightInd w:val="0"/>
              <w:snapToGrid w:val="0"/>
              <w:spacing w:line="240" w:lineRule="auto"/>
              <w:ind w:firstLine="270" w:firstLineChars="15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1270</wp:posOffset>
                      </wp:positionV>
                      <wp:extent cx="525780" cy="614045"/>
                      <wp:effectExtent l="3810" t="3175" r="3810" b="11430"/>
                      <wp:wrapNone/>
                      <wp:docPr id="14" name="直线连接符 14"/>
                      <wp:cNvGraphicFramePr/>
                      <a:graphic xmlns:a="http://schemas.openxmlformats.org/drawingml/2006/main">
                        <a:graphicData uri="http://schemas.microsoft.com/office/word/2010/wordprocessingShape">
                          <wps:wsp>
                            <wps:cNvCnPr/>
                            <wps:spPr>
                              <a:xfrm>
                                <a:off x="0" y="0"/>
                                <a:ext cx="525780" cy="6140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4" o:spid="_x0000_s1026" o:spt="20" style="position:absolute;left:0pt;margin-left:-4.45pt;margin-top:0.1pt;height:48.35pt;width:41.4pt;z-index:251659264;mso-width-relative:page;mso-height-relative:page;" filled="f" stroked="t" coordsize="21600,21600" o:gfxdata="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8MG7jTAAAA&#10;BQEAAA8AAAAAAAAAAQAgAAAAIgAAAGRycy9kb3ducmV2LnhtbFBLAQIUABQAAAAIAIdO4kDoi66J&#10;6QEAALcDAAAOAAAAAAAAAAEAIAAAACIBAABkcnMvZTJvRG9jLnhtbFBLBQYAAAAABgAGAFkBAAB9&#10;BQAAAAA=&#10;">
                      <v:fill on="f" focussize="0,0"/>
                      <v:stroke weight="0.5pt" color="#000000 [3200]" miterlimit="8" joinstyle="miter"/>
                      <v:imagedata o:title=""/>
                      <o:lock v:ext="edit" aspectratio="f"/>
                    </v:line>
                  </w:pict>
                </mc:Fallback>
              </mc:AlternateContent>
            </w:r>
            <w:r>
              <w:rPr>
                <w:rFonts w:hint="eastAsia" w:ascii="宋体" w:hAnsi="宋体" w:eastAsia="宋体" w:cs="宋体"/>
                <w:kern w:val="0"/>
                <w:sz w:val="18"/>
                <w:szCs w:val="18"/>
              </w:rPr>
              <w:t>方向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级别</w:t>
            </w:r>
          </w:p>
        </w:tc>
        <w:tc>
          <w:tcPr>
            <w:tcW w:w="8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网络安全审计</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个人信息安全保护</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舆情监测</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监测预警</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网络安全规划设计</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信息系统安全运维</w:t>
            </w:r>
          </w:p>
        </w:tc>
        <w:tc>
          <w:tcPr>
            <w:tcW w:w="8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网络安全风险评估</w:t>
            </w:r>
          </w:p>
        </w:tc>
        <w:tc>
          <w:tcPr>
            <w:tcW w:w="1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五级</w:t>
            </w:r>
          </w:p>
        </w:tc>
        <w:tc>
          <w:tcPr>
            <w:tcW w:w="8140" w:type="dxa"/>
            <w:gridSpan w:val="9"/>
            <w:vAlign w:val="center"/>
          </w:tcPr>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资历评定，在各类别的某个方向领域资质符合条款5.2.1.5的要求即可申请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四级</w:t>
            </w:r>
          </w:p>
        </w:tc>
        <w:tc>
          <w:tcPr>
            <w:tcW w:w="8140" w:type="dxa"/>
            <w:gridSpan w:val="9"/>
            <w:vMerge w:val="restart"/>
            <w:vAlign w:val="center"/>
          </w:tcPr>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需掌握各类别的专业方向所要求的知识，并通过相应的考试，根据资历条件颁发三级或四级认证证书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4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三级</w:t>
            </w:r>
          </w:p>
        </w:tc>
        <w:tc>
          <w:tcPr>
            <w:tcW w:w="8140" w:type="dxa"/>
            <w:gridSpan w:val="9"/>
            <w:vMerge w:val="continue"/>
          </w:tcPr>
          <w:p>
            <w:pPr>
              <w:spacing w:line="360" w:lineRule="auto"/>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4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二级</w:t>
            </w:r>
          </w:p>
        </w:tc>
        <w:tc>
          <w:tcPr>
            <w:tcW w:w="8140" w:type="dxa"/>
            <w:gridSpan w:val="9"/>
            <w:vMerge w:val="restart"/>
            <w:vAlign w:val="center"/>
          </w:tcPr>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需掌握通用基础知识，并通过相应的考试，根据资历条件颁发一级或二级认证证书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846"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一级</w:t>
            </w:r>
          </w:p>
        </w:tc>
        <w:tc>
          <w:tcPr>
            <w:tcW w:w="8140" w:type="dxa"/>
            <w:gridSpan w:val="9"/>
            <w:vMerge w:val="continue"/>
          </w:tcPr>
          <w:p>
            <w:pPr>
              <w:spacing w:line="360" w:lineRule="auto"/>
              <w:rPr>
                <w:rFonts w:hint="eastAsia" w:ascii="宋体" w:hAnsi="宋体" w:eastAsia="宋体" w:cs="宋体"/>
                <w:kern w:val="0"/>
                <w:sz w:val="18"/>
                <w:szCs w:val="18"/>
              </w:rPr>
            </w:pPr>
          </w:p>
        </w:tc>
      </w:tr>
    </w:tbl>
    <w:p>
      <w:pPr>
        <w:spacing w:line="360" w:lineRule="auto"/>
        <w:ind w:firstLine="630" w:firstLineChars="300"/>
        <w:rPr>
          <w:rFonts w:hint="eastAsia" w:ascii="Songti SC Light" w:hAnsi="Songti SC Light" w:eastAsia="Songti SC Light"/>
          <w:color w:val="000000" w:themeColor="text1"/>
          <w:szCs w:val="21"/>
          <w14:textFill>
            <w14:solidFill>
              <w14:schemeClr w14:val="tx1"/>
            </w14:solidFill>
          </w14:textFill>
        </w:rPr>
      </w:pPr>
    </w:p>
    <w:p>
      <w:pPr>
        <w:spacing w:line="360" w:lineRule="auto"/>
        <w:ind w:firstLine="630" w:firstLineChars="300"/>
        <w:rPr>
          <w:rFonts w:hint="eastAsia" w:ascii="Songti SC Light" w:hAnsi="Songti SC Light" w:eastAsia="Songti SC Light"/>
          <w:color w:val="000000" w:themeColor="text1"/>
          <w:szCs w:val="21"/>
          <w14:textFill>
            <w14:solidFill>
              <w14:schemeClr w14:val="tx1"/>
            </w14:solidFill>
          </w14:textFill>
        </w:rPr>
      </w:pPr>
      <w:r>
        <w:rPr>
          <w:rFonts w:hint="eastAsia" w:ascii="Songti SC Light" w:hAnsi="Songti SC Light" w:eastAsia="Songti SC Light"/>
          <w:color w:val="000000" w:themeColor="text1"/>
          <w:szCs w:val="21"/>
          <w14:textFill>
            <w14:solidFill>
              <w14:schemeClr w14:val="tx1"/>
            </w14:solidFill>
          </w14:textFill>
        </w:rPr>
        <w:t>表1-2</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822"/>
        <w:gridCol w:w="829"/>
        <w:gridCol w:w="829"/>
        <w:gridCol w:w="829"/>
        <w:gridCol w:w="829"/>
        <w:gridCol w:w="829"/>
        <w:gridCol w:w="829"/>
        <w:gridCol w:w="829"/>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Pr>
          <w:p>
            <w:pPr>
              <w:spacing w:line="360" w:lineRule="auto"/>
              <w:jc w:val="center"/>
              <w:rPr>
                <w:rFonts w:hint="eastAsia" w:ascii="黑体" w:hAnsi="黑体" w:eastAsia="黑体" w:cs="黑体"/>
                <w:kern w:val="0"/>
                <w:sz w:val="18"/>
                <w:szCs w:val="18"/>
              </w:rPr>
            </w:pPr>
            <w:r>
              <w:rPr>
                <w:rFonts w:hint="eastAsia" w:ascii="黑体" w:hAnsi="黑体" w:eastAsia="黑体" w:cs="黑体"/>
                <w:kern w:val="0"/>
                <w:sz w:val="18"/>
                <w:szCs w:val="18"/>
              </w:rPr>
              <w:t>类别</w:t>
            </w:r>
          </w:p>
        </w:tc>
        <w:tc>
          <w:tcPr>
            <w:tcW w:w="7874" w:type="dxa"/>
            <w:gridSpan w:val="9"/>
          </w:tcPr>
          <w:p>
            <w:pPr>
              <w:spacing w:line="360" w:lineRule="auto"/>
              <w:jc w:val="center"/>
              <w:rPr>
                <w:rFonts w:hint="eastAsia" w:ascii="黑体" w:hAnsi="黑体" w:eastAsia="黑体" w:cs="黑体"/>
                <w:kern w:val="0"/>
                <w:sz w:val="18"/>
                <w:szCs w:val="18"/>
              </w:rPr>
            </w:pPr>
            <w:r>
              <w:rPr>
                <w:rFonts w:hint="eastAsia" w:ascii="黑体" w:hAnsi="黑体" w:eastAsia="黑体" w:cs="黑体"/>
                <w:kern w:val="0"/>
                <w:sz w:val="18"/>
                <w:szCs w:val="18"/>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50"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5715</wp:posOffset>
                      </wp:positionV>
                      <wp:extent cx="529590" cy="614045"/>
                      <wp:effectExtent l="3810" t="3175" r="19050" b="11430"/>
                      <wp:wrapNone/>
                      <wp:docPr id="16" name="直线连接符 16"/>
                      <wp:cNvGraphicFramePr/>
                      <a:graphic xmlns:a="http://schemas.openxmlformats.org/drawingml/2006/main">
                        <a:graphicData uri="http://schemas.microsoft.com/office/word/2010/wordprocessingShape">
                          <wps:wsp>
                            <wps:cNvCnPr/>
                            <wps:spPr>
                              <a:xfrm>
                                <a:off x="0" y="0"/>
                                <a:ext cx="529590" cy="6140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连接符 16" o:spid="_x0000_s1026" o:spt="20" style="position:absolute;left:0pt;margin-left:-4.75pt;margin-top:0.45pt;height:48.35pt;width:41.7pt;z-index:251660288;mso-width-relative:page;mso-height-relative:page;" filled="f" stroked="t" coordsize="21600,21600" o:gfxdata="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aIhF0wAA&#10;AAUBAAAPAAAAAAAAAAEAIAAAACIAAABkcnMvZG93bnJldi54bWxQSwECFAAUAAAACACHTuJAmHDy&#10;u+oBAAC3AwAADgAAAAAAAAABACAAAAAiAQAAZHJzL2Uyb0RvYy54bWxQSwUGAAAAAAYABgBZAQAA&#10;fgUAAAAA&#10;">
                      <v:fill on="f" focussize="0,0"/>
                      <v:stroke weight="0.5pt" color="#000000 [3200]" miterlimit="8" joinstyle="miter"/>
                      <v:imagedata o:title=""/>
                      <o:lock v:ext="edit" aspectratio="f"/>
                    </v:line>
                  </w:pict>
                </mc:Fallback>
              </mc:AlternateContent>
            </w:r>
            <w:r>
              <w:rPr>
                <w:rFonts w:hint="eastAsia" w:ascii="宋体" w:hAnsi="宋体" w:eastAsia="宋体" w:cs="宋体"/>
                <w:kern w:val="0"/>
                <w:sz w:val="18"/>
                <w:szCs w:val="18"/>
              </w:rPr>
              <w:t>方向</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级别</w:t>
            </w:r>
          </w:p>
        </w:tc>
        <w:tc>
          <w:tcPr>
            <w:tcW w:w="822"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云计算安全</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软件安全开发</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工业互联网安全</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信息</w:t>
            </w:r>
            <w:r>
              <w:rPr>
                <w:rFonts w:hint="eastAsia" w:ascii="宋体" w:hAnsi="宋体" w:eastAsia="宋体" w:cs="宋体"/>
                <w:kern w:val="0"/>
                <w:sz w:val="18"/>
                <w:szCs w:val="18"/>
                <w:lang w:eastAsia="zh-CN"/>
              </w:rPr>
              <w:t>系统</w:t>
            </w:r>
            <w:r>
              <w:rPr>
                <w:rFonts w:hint="eastAsia" w:ascii="宋体" w:hAnsi="宋体" w:eastAsia="宋体" w:cs="宋体"/>
                <w:kern w:val="0"/>
                <w:sz w:val="18"/>
                <w:szCs w:val="18"/>
              </w:rPr>
              <w:t>安全集成</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渗透测试</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大数据安全</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密码技术</w:t>
            </w:r>
          </w:p>
        </w:tc>
        <w:tc>
          <w:tcPr>
            <w:tcW w:w="82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人工智能安全</w:t>
            </w:r>
          </w:p>
        </w:tc>
        <w:tc>
          <w:tcPr>
            <w:tcW w:w="1249"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物联网安全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5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五级</w:t>
            </w:r>
          </w:p>
        </w:tc>
        <w:tc>
          <w:tcPr>
            <w:tcW w:w="787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资历评定，在各类别的某个方向领域资质符合条款5.2.1.5要求即可申请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四级</w:t>
            </w:r>
          </w:p>
        </w:tc>
        <w:tc>
          <w:tcPr>
            <w:tcW w:w="7874" w:type="dxa"/>
            <w:gridSpan w:val="9"/>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需掌握各类别的专业方向所要求的知识，并通过相应的考试，根据资历条件颁发三级或四级认证证书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5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三级</w:t>
            </w:r>
          </w:p>
        </w:tc>
        <w:tc>
          <w:tcPr>
            <w:tcW w:w="7874" w:type="dxa"/>
            <w:gridSpan w:val="9"/>
            <w:vMerge w:val="continue"/>
          </w:tcPr>
          <w:p>
            <w:pPr>
              <w:spacing w:line="360" w:lineRule="auto"/>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5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二级</w:t>
            </w:r>
          </w:p>
        </w:tc>
        <w:tc>
          <w:tcPr>
            <w:tcW w:w="7874" w:type="dxa"/>
            <w:gridSpan w:val="9"/>
            <w:vMerge w:val="restart"/>
            <w:vAlign w:val="center"/>
          </w:tcPr>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需掌握通用基础知识，并通过相应的考试，根据资历条件颁发一级或二级认证证书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50" w:type="dxa"/>
          </w:tcPr>
          <w:p>
            <w:pPr>
              <w:spacing w:line="36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一级</w:t>
            </w:r>
          </w:p>
        </w:tc>
        <w:tc>
          <w:tcPr>
            <w:tcW w:w="7874" w:type="dxa"/>
            <w:gridSpan w:val="9"/>
            <w:vMerge w:val="continue"/>
            <w:vAlign w:val="center"/>
          </w:tcPr>
          <w:p>
            <w:pPr>
              <w:spacing w:line="360" w:lineRule="auto"/>
              <w:jc w:val="center"/>
              <w:rPr>
                <w:rFonts w:hint="eastAsia" w:ascii="宋体" w:hAnsi="宋体" w:eastAsia="宋体" w:cs="宋体"/>
                <w:kern w:val="0"/>
                <w:sz w:val="18"/>
                <w:szCs w:val="18"/>
                <w:lang w:eastAsia="zh-CN"/>
              </w:rPr>
            </w:pPr>
          </w:p>
        </w:tc>
      </w:tr>
    </w:tbl>
    <w:p>
      <w:pPr>
        <w:keepNext w:val="0"/>
        <w:keepLines w:val="0"/>
        <w:pageBreakBefore w:val="0"/>
        <w:widowControl w:val="0"/>
        <w:kinsoku/>
        <w:wordWrap/>
        <w:overflowPunct/>
        <w:topLinePunct w:val="0"/>
        <w:autoSpaceDE/>
        <w:autoSpaceDN/>
        <w:bidi w:val="0"/>
        <w:adjustRightInd w:val="0"/>
        <w:snapToGrid w:val="0"/>
        <w:spacing w:before="318" w:beforeLines="100" w:line="360" w:lineRule="auto"/>
        <w:textAlignment w:val="auto"/>
        <w:outlineLvl w:val="0"/>
        <w:rPr>
          <w:rFonts w:hint="eastAsia" w:ascii="黑体" w:hAnsi="黑体" w:eastAsia="黑体" w:cs="黑体"/>
          <w:b w:val="0"/>
          <w:bCs w:val="0"/>
          <w:kern w:val="0"/>
          <w:szCs w:val="21"/>
        </w:rPr>
      </w:pPr>
      <w:bookmarkStart w:id="23" w:name="_Toc20007"/>
      <w:r>
        <w:rPr>
          <w:rFonts w:hint="eastAsia" w:ascii="黑体" w:hAnsi="黑体" w:eastAsia="黑体" w:cs="黑体"/>
          <w:b w:val="0"/>
          <w:bCs w:val="0"/>
          <w:kern w:val="0"/>
          <w:szCs w:val="21"/>
        </w:rPr>
        <w:t>5. 认证通用要求</w:t>
      </w:r>
      <w:bookmarkEnd w:id="23"/>
    </w:p>
    <w:p>
      <w:pPr>
        <w:pStyle w:val="26"/>
        <w:spacing w:line="360" w:lineRule="auto"/>
        <w:ind w:firstLine="0" w:firstLineChars="0"/>
        <w:outlineLvl w:val="1"/>
        <w:rPr>
          <w:rFonts w:hint="eastAsia" w:ascii="黑体" w:hAnsi="黑体" w:eastAsia="黑体" w:cs="黑体"/>
          <w:b w:val="0"/>
          <w:bCs w:val="0"/>
          <w:szCs w:val="21"/>
        </w:rPr>
      </w:pPr>
      <w:bookmarkStart w:id="24" w:name="_Toc7648"/>
      <w:r>
        <w:rPr>
          <w:rFonts w:hint="eastAsia" w:ascii="黑体" w:hAnsi="黑体" w:eastAsia="黑体" w:cs="黑体"/>
          <w:b w:val="0"/>
          <w:bCs w:val="0"/>
          <w:szCs w:val="21"/>
        </w:rPr>
        <w:t>5.1 基本要求</w:t>
      </w:r>
      <w:bookmarkEnd w:id="24"/>
    </w:p>
    <w:p>
      <w:pPr>
        <w:pStyle w:val="26"/>
        <w:spacing w:line="360" w:lineRule="auto"/>
        <w:ind w:firstLine="420"/>
        <w:rPr>
          <w:rFonts w:hint="eastAsia" w:ascii="Times New Roman" w:eastAsia="宋体"/>
          <w:szCs w:val="21"/>
          <w:lang w:eastAsia="zh-CN"/>
        </w:rPr>
      </w:pPr>
      <w:r>
        <w:rPr>
          <w:rFonts w:hint="eastAsia" w:ascii="Times New Roman"/>
          <w:szCs w:val="21"/>
        </w:rPr>
        <w:t>获证人员应满足如下基本要求</w:t>
      </w:r>
      <w:r>
        <w:rPr>
          <w:rFonts w:hint="eastAsia" w:ascii="Times New Roman"/>
          <w:szCs w:val="21"/>
          <w:lang w:eastAsia="zh-CN"/>
        </w:rPr>
        <w:t>；</w:t>
      </w:r>
    </w:p>
    <w:p>
      <w:pPr>
        <w:pStyle w:val="26"/>
        <w:spacing w:line="360" w:lineRule="auto"/>
        <w:ind w:firstLine="420"/>
        <w:rPr>
          <w:rFonts w:ascii="Times New Roman"/>
          <w:szCs w:val="21"/>
        </w:rPr>
      </w:pPr>
      <w:r>
        <w:rPr>
          <w:rFonts w:hint="eastAsia" w:ascii="Times New Roman"/>
          <w:szCs w:val="21"/>
        </w:rPr>
        <w:t xml:space="preserve">a) 具有独立的民事行为能力，具备承担法律责任的能力； </w:t>
      </w:r>
    </w:p>
    <w:p>
      <w:pPr>
        <w:pStyle w:val="26"/>
        <w:spacing w:line="360" w:lineRule="auto"/>
        <w:ind w:firstLine="420"/>
        <w:rPr>
          <w:rFonts w:ascii="Times New Roman"/>
          <w:szCs w:val="21"/>
        </w:rPr>
      </w:pPr>
      <w:r>
        <w:rPr>
          <w:rFonts w:hint="eastAsia" w:ascii="Times New Roman"/>
          <w:szCs w:val="21"/>
        </w:rPr>
        <w:t xml:space="preserve">b) 近三年内未受过刑事处罚； </w:t>
      </w:r>
    </w:p>
    <w:p>
      <w:pPr>
        <w:pStyle w:val="26"/>
        <w:spacing w:line="360" w:lineRule="auto"/>
        <w:ind w:firstLine="420"/>
        <w:rPr>
          <w:rFonts w:ascii="Times New Roman"/>
          <w:szCs w:val="21"/>
        </w:rPr>
      </w:pPr>
      <w:r>
        <w:rPr>
          <w:rFonts w:hint="eastAsia" w:ascii="Times New Roman"/>
          <w:szCs w:val="21"/>
        </w:rPr>
        <w:t xml:space="preserve">c) 不存在法律法规禁止从业的情形； </w:t>
      </w:r>
    </w:p>
    <w:p>
      <w:pPr>
        <w:pStyle w:val="26"/>
        <w:spacing w:line="360" w:lineRule="auto"/>
        <w:ind w:firstLine="420"/>
        <w:rPr>
          <w:rFonts w:ascii="Times New Roman"/>
          <w:szCs w:val="21"/>
        </w:rPr>
      </w:pPr>
      <w:r>
        <w:rPr>
          <w:rFonts w:hint="eastAsia" w:ascii="Times New Roman"/>
          <w:szCs w:val="21"/>
        </w:rPr>
        <w:t xml:space="preserve">d) 自愿遵守颁布的网络空间专业人员认证相关文件的有关规定，履行相关义务； </w:t>
      </w:r>
    </w:p>
    <w:p>
      <w:pPr>
        <w:pStyle w:val="26"/>
        <w:spacing w:line="360" w:lineRule="auto"/>
        <w:ind w:firstLine="420"/>
        <w:rPr>
          <w:rFonts w:ascii="Times New Roman"/>
          <w:szCs w:val="21"/>
        </w:rPr>
      </w:pPr>
      <w:r>
        <w:rPr>
          <w:rFonts w:hint="eastAsia" w:ascii="Times New Roman"/>
          <w:szCs w:val="21"/>
        </w:rPr>
        <w:t xml:space="preserve">e) 符合有关法律法规的规定。 </w:t>
      </w:r>
    </w:p>
    <w:p>
      <w:pPr>
        <w:spacing w:line="360" w:lineRule="auto"/>
        <w:outlineLvl w:val="1"/>
        <w:rPr>
          <w:rFonts w:hint="eastAsia" w:ascii="黑体" w:hAnsi="黑体" w:eastAsia="黑体" w:cs="黑体"/>
          <w:b w:val="0"/>
          <w:bCs w:val="0"/>
          <w:kern w:val="0"/>
          <w:szCs w:val="21"/>
        </w:rPr>
      </w:pPr>
      <w:bookmarkStart w:id="25" w:name="_Toc31755"/>
      <w:r>
        <w:rPr>
          <w:rFonts w:hint="eastAsia" w:ascii="黑体" w:hAnsi="黑体" w:eastAsia="黑体" w:cs="黑体"/>
          <w:b w:val="0"/>
          <w:bCs w:val="0"/>
          <w:kern w:val="0"/>
          <w:szCs w:val="21"/>
        </w:rPr>
        <w:t>5.2 初次申请资格要求</w:t>
      </w:r>
      <w:bookmarkEnd w:id="25"/>
    </w:p>
    <w:p>
      <w:pPr>
        <w:pStyle w:val="26"/>
        <w:spacing w:line="360" w:lineRule="auto"/>
        <w:ind w:firstLine="0" w:firstLineChars="0"/>
        <w:outlineLvl w:val="2"/>
        <w:rPr>
          <w:rFonts w:hint="eastAsia" w:ascii="黑体" w:hAnsi="黑体" w:eastAsia="黑体" w:cs="黑体"/>
          <w:b w:val="0"/>
          <w:bCs w:val="0"/>
          <w:szCs w:val="21"/>
        </w:rPr>
      </w:pPr>
      <w:bookmarkStart w:id="26" w:name="_Toc22930"/>
      <w:bookmarkStart w:id="27" w:name="_Toc28111"/>
      <w:bookmarkStart w:id="28" w:name="_Toc9523"/>
      <w:r>
        <w:rPr>
          <w:rFonts w:hint="eastAsia" w:ascii="黑体" w:hAnsi="黑体" w:eastAsia="黑体" w:cs="黑体"/>
          <w:b w:val="0"/>
          <w:bCs w:val="0"/>
          <w:szCs w:val="21"/>
        </w:rPr>
        <w:t>5.2.1 教育及工作经历</w:t>
      </w:r>
      <w:bookmarkEnd w:id="26"/>
      <w:bookmarkEnd w:id="27"/>
      <w:bookmarkEnd w:id="28"/>
    </w:p>
    <w:p>
      <w:pPr>
        <w:pStyle w:val="26"/>
        <w:spacing w:line="360" w:lineRule="auto"/>
        <w:ind w:firstLine="0" w:firstLineChars="0"/>
        <w:rPr>
          <w:rFonts w:hint="eastAsia" w:ascii="黑体" w:hAnsi="黑体" w:eastAsia="黑体" w:cs="黑体"/>
          <w:b w:val="0"/>
          <w:bCs w:val="0"/>
          <w:szCs w:val="21"/>
        </w:rPr>
      </w:pPr>
      <w:r>
        <w:rPr>
          <w:rFonts w:hint="eastAsia" w:ascii="黑体" w:hAnsi="黑体" w:eastAsia="黑体" w:cs="黑体"/>
          <w:b w:val="0"/>
          <w:bCs w:val="0"/>
          <w:szCs w:val="21"/>
        </w:rPr>
        <w:t>5.2.1.1 一级认证人员（预备级）认证资格要求</w:t>
      </w:r>
    </w:p>
    <w:p>
      <w:pPr>
        <w:pStyle w:val="26"/>
        <w:spacing w:line="360" w:lineRule="auto"/>
        <w:ind w:firstLine="420"/>
        <w:rPr>
          <w:rFonts w:ascii="Times New Roman"/>
          <w:szCs w:val="21"/>
        </w:rPr>
      </w:pPr>
      <w:r>
        <w:rPr>
          <w:rFonts w:hint="eastAsia" w:ascii="Times New Roman"/>
          <w:szCs w:val="21"/>
        </w:rPr>
        <w:t xml:space="preserve">获证人员应满足下面要求： </w:t>
      </w:r>
    </w:p>
    <w:p>
      <w:pPr>
        <w:pStyle w:val="26"/>
        <w:spacing w:line="360" w:lineRule="auto"/>
        <w:ind w:firstLine="420"/>
        <w:rPr>
          <w:rFonts w:ascii="Times New Roman"/>
          <w:szCs w:val="21"/>
        </w:rPr>
      </w:pPr>
      <w:r>
        <w:rPr>
          <w:rFonts w:hint="eastAsia" w:ascii="Times New Roman"/>
          <w:szCs w:val="21"/>
        </w:rPr>
        <w:t>教育部发布的</w:t>
      </w:r>
      <w:r>
        <w:rPr>
          <w:rFonts w:ascii="Times New Roman"/>
          <w:szCs w:val="21"/>
        </w:rPr>
        <w:t>“</w:t>
      </w:r>
      <w:r>
        <w:rPr>
          <w:rFonts w:hint="eastAsia" w:ascii="Times New Roman"/>
          <w:szCs w:val="21"/>
        </w:rPr>
        <w:t>具有普通高等学历教育招生资格的高等学校名单</w:t>
      </w:r>
      <w:r>
        <w:rPr>
          <w:rFonts w:ascii="Times New Roman"/>
          <w:szCs w:val="21"/>
        </w:rPr>
        <w:t>”</w:t>
      </w:r>
      <w:r>
        <w:rPr>
          <w:rFonts w:hint="eastAsia" w:ascii="Times New Roman"/>
          <w:szCs w:val="21"/>
        </w:rPr>
        <w:t>中的院校的在校生、应届毕业生或全国研究生招生计划中研究生招生单位在校研究生、应届毕业生等；</w:t>
      </w:r>
    </w:p>
    <w:p>
      <w:pPr>
        <w:pStyle w:val="26"/>
        <w:spacing w:line="360" w:lineRule="auto"/>
        <w:ind w:firstLine="0" w:firstLineChars="0"/>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14:textFill>
            <w14:solidFill>
              <w14:schemeClr w14:val="tx1"/>
            </w14:solidFill>
          </w14:textFill>
        </w:rPr>
        <w:t>5.2.1.2 二级认证人员（基础级）教育及工作经历要求</w:t>
      </w:r>
    </w:p>
    <w:p>
      <w:pPr>
        <w:pStyle w:val="26"/>
        <w:spacing w:line="360" w:lineRule="auto"/>
        <w:ind w:left="0" w:leftChars="0" w:firstLine="420" w:firstLineChars="200"/>
        <w:rPr>
          <w:rFonts w:ascii="Times New Roman"/>
          <w:szCs w:val="21"/>
        </w:rPr>
      </w:pPr>
      <w:r>
        <w:rPr>
          <w:rFonts w:hint="eastAsia" w:ascii="Times New Roman"/>
          <w:szCs w:val="21"/>
        </w:rPr>
        <w:t xml:space="preserve"> 专业要求：无专业要求限制。</w:t>
      </w:r>
    </w:p>
    <w:p>
      <w:pPr>
        <w:pStyle w:val="26"/>
        <w:spacing w:line="360" w:lineRule="auto"/>
        <w:ind w:firstLine="420"/>
        <w:rPr>
          <w:rFonts w:ascii="Times New Roman"/>
          <w:szCs w:val="21"/>
        </w:rPr>
      </w:pPr>
      <w:r>
        <w:rPr>
          <w:rFonts w:hint="eastAsia" w:ascii="Times New Roman"/>
          <w:szCs w:val="21"/>
        </w:rPr>
        <w:t xml:space="preserve">获证人员工作经历应至少满足下面一项要求： </w:t>
      </w:r>
    </w:p>
    <w:p>
      <w:pPr>
        <w:pStyle w:val="26"/>
        <w:spacing w:line="360" w:lineRule="auto"/>
        <w:ind w:firstLine="420"/>
        <w:rPr>
          <w:rFonts w:ascii="Times New Roman"/>
          <w:szCs w:val="21"/>
        </w:rPr>
      </w:pPr>
      <w:r>
        <w:rPr>
          <w:rFonts w:hint="eastAsia" w:ascii="Times New Roman"/>
          <w:szCs w:val="21"/>
        </w:rPr>
        <w:t xml:space="preserve">a) 本科（含）以上学历， 1年以上从事网络空间安全有关工作经历； </w:t>
      </w:r>
    </w:p>
    <w:p>
      <w:pPr>
        <w:pStyle w:val="26"/>
        <w:spacing w:line="360" w:lineRule="auto"/>
        <w:ind w:firstLine="420"/>
        <w:rPr>
          <w:rFonts w:ascii="Times New Roman"/>
          <w:szCs w:val="21"/>
        </w:rPr>
      </w:pPr>
      <w:r>
        <w:rPr>
          <w:rFonts w:hint="eastAsia" w:ascii="Times New Roman"/>
          <w:szCs w:val="21"/>
        </w:rPr>
        <w:t xml:space="preserve">b) 专科毕业，2年以上从事网络空间安全有关的工作经历； </w:t>
      </w:r>
    </w:p>
    <w:p>
      <w:pPr>
        <w:pStyle w:val="26"/>
        <w:spacing w:line="360" w:lineRule="auto"/>
        <w:ind w:firstLine="420"/>
        <w:rPr>
          <w:rFonts w:ascii="Times New Roman"/>
          <w:szCs w:val="21"/>
        </w:rPr>
      </w:pPr>
      <w:r>
        <w:rPr>
          <w:rFonts w:hint="eastAsia" w:ascii="Times New Roman"/>
          <w:szCs w:val="21"/>
        </w:rPr>
        <w:t>c) 中等专科毕业，4年以上从事网络空间有关的工作经历；</w:t>
      </w:r>
    </w:p>
    <w:p>
      <w:pPr>
        <w:pStyle w:val="26"/>
        <w:spacing w:line="360" w:lineRule="auto"/>
        <w:ind w:firstLine="420"/>
        <w:rPr>
          <w:rFonts w:ascii="Times New Roman"/>
          <w:szCs w:val="21"/>
        </w:rPr>
      </w:pPr>
      <w:r>
        <w:rPr>
          <w:rFonts w:hint="eastAsia" w:ascii="Times New Roman"/>
          <w:szCs w:val="21"/>
        </w:rPr>
        <w:t xml:space="preserve">e) 具有丰富的项目经验，5年以上从事网络空间安全有关的工作经历； </w:t>
      </w:r>
    </w:p>
    <w:p>
      <w:pPr>
        <w:pStyle w:val="26"/>
        <w:spacing w:line="360" w:lineRule="auto"/>
        <w:ind w:firstLine="0" w:firstLineChars="0"/>
        <w:rPr>
          <w:rFonts w:hint="eastAsia" w:ascii="黑体" w:hAnsi="黑体" w:eastAsia="黑体" w:cs="黑体"/>
          <w:b w:val="0"/>
          <w:bCs w:val="0"/>
          <w:szCs w:val="21"/>
        </w:rPr>
      </w:pPr>
      <w:r>
        <w:rPr>
          <w:rFonts w:hint="eastAsia" w:ascii="黑体" w:hAnsi="黑体" w:eastAsia="黑体" w:cs="黑体"/>
          <w:b w:val="0"/>
          <w:bCs w:val="0"/>
          <w:szCs w:val="21"/>
        </w:rPr>
        <w:t>5.2.1.3 三级认证人员（专业级）教育及工作经历要求</w:t>
      </w:r>
    </w:p>
    <w:p>
      <w:pPr>
        <w:pStyle w:val="26"/>
        <w:spacing w:line="360" w:lineRule="auto"/>
        <w:ind w:firstLine="420"/>
        <w:rPr>
          <w:rFonts w:ascii="Times New Roman"/>
          <w:szCs w:val="21"/>
        </w:rPr>
      </w:pPr>
      <w:r>
        <w:rPr>
          <w:rFonts w:hint="eastAsia" w:ascii="Times New Roman"/>
          <w:szCs w:val="21"/>
        </w:rPr>
        <w:t>专业要求：网络空间、信息安全、计算机相关或相近专业</w:t>
      </w:r>
      <w:r>
        <w:rPr>
          <w:rFonts w:hint="eastAsia" w:ascii="Times New Roman"/>
          <w:szCs w:val="21"/>
          <w:lang w:eastAsia="zh-CN"/>
        </w:rPr>
        <w:t>，</w:t>
      </w:r>
      <w:r>
        <w:rPr>
          <w:rFonts w:hint="eastAsia" w:ascii="Times New Roman"/>
          <w:szCs w:val="21"/>
        </w:rPr>
        <w:t>非以上专业的人员需先通过二级人员认证。</w:t>
      </w:r>
    </w:p>
    <w:p>
      <w:pPr>
        <w:pStyle w:val="26"/>
        <w:spacing w:line="360" w:lineRule="auto"/>
        <w:ind w:firstLine="420"/>
        <w:rPr>
          <w:rFonts w:ascii="Times New Roman"/>
          <w:szCs w:val="21"/>
        </w:rPr>
      </w:pPr>
      <w:r>
        <w:rPr>
          <w:rFonts w:hint="eastAsia" w:ascii="Times New Roman"/>
          <w:szCs w:val="21"/>
        </w:rPr>
        <w:t xml:space="preserve">获证人员工作经历应至少满足下面一项要求： </w:t>
      </w:r>
    </w:p>
    <w:p>
      <w:pPr>
        <w:pStyle w:val="26"/>
        <w:spacing w:line="360" w:lineRule="auto"/>
        <w:ind w:firstLine="420"/>
        <w:rPr>
          <w:rFonts w:ascii="Times New Roman"/>
          <w:szCs w:val="21"/>
        </w:rPr>
      </w:pPr>
      <w:r>
        <w:rPr>
          <w:rFonts w:hint="eastAsia" w:ascii="Times New Roman"/>
          <w:szCs w:val="21"/>
        </w:rPr>
        <w:t xml:space="preserve">a) 硕士研究生（含）以上学历，1年以上从事网络空间有关工作经历； </w:t>
      </w:r>
    </w:p>
    <w:p>
      <w:pPr>
        <w:pStyle w:val="26"/>
        <w:spacing w:line="360" w:lineRule="auto"/>
        <w:ind w:firstLine="420"/>
        <w:rPr>
          <w:rFonts w:ascii="Times New Roman"/>
          <w:szCs w:val="21"/>
        </w:rPr>
      </w:pPr>
      <w:r>
        <w:rPr>
          <w:rFonts w:hint="eastAsia" w:ascii="Times New Roman"/>
          <w:szCs w:val="21"/>
        </w:rPr>
        <w:t xml:space="preserve">b) 本科毕业，3年以上从事网络空间有关工作经历； </w:t>
      </w:r>
    </w:p>
    <w:p>
      <w:pPr>
        <w:pStyle w:val="26"/>
        <w:spacing w:line="360" w:lineRule="auto"/>
        <w:ind w:firstLine="420"/>
        <w:rPr>
          <w:rFonts w:ascii="Times New Roman"/>
          <w:szCs w:val="21"/>
        </w:rPr>
      </w:pPr>
      <w:r>
        <w:rPr>
          <w:rFonts w:hint="eastAsia" w:ascii="Times New Roman"/>
          <w:szCs w:val="21"/>
        </w:rPr>
        <w:t xml:space="preserve">c) 专科毕业，5年以上从事网络空间有关工作经历； </w:t>
      </w:r>
    </w:p>
    <w:p>
      <w:pPr>
        <w:pStyle w:val="26"/>
        <w:spacing w:line="360" w:lineRule="auto"/>
        <w:ind w:firstLine="420"/>
        <w:rPr>
          <w:rFonts w:ascii="Times New Roman"/>
          <w:szCs w:val="21"/>
        </w:rPr>
      </w:pPr>
      <w:r>
        <w:rPr>
          <w:rFonts w:hint="eastAsia" w:ascii="Times New Roman"/>
          <w:szCs w:val="21"/>
        </w:rPr>
        <w:t>d)</w:t>
      </w:r>
      <w:r>
        <w:rPr>
          <w:rFonts w:ascii="Times New Roman"/>
          <w:szCs w:val="21"/>
        </w:rPr>
        <w:t xml:space="preserve"> </w:t>
      </w:r>
      <w:r>
        <w:rPr>
          <w:rFonts w:hint="eastAsia" w:ascii="Times New Roman"/>
          <w:szCs w:val="21"/>
        </w:rPr>
        <w:t xml:space="preserve">中等专科毕业， 7年以上从事网络空间有关工作经历； </w:t>
      </w:r>
    </w:p>
    <w:p>
      <w:pPr>
        <w:pStyle w:val="26"/>
        <w:spacing w:line="360" w:lineRule="auto"/>
        <w:ind w:firstLine="0" w:firstLineChars="0"/>
        <w:rPr>
          <w:rFonts w:hint="eastAsia" w:ascii="黑体" w:hAnsi="黑体" w:eastAsia="黑体" w:cs="黑体"/>
          <w:b w:val="0"/>
          <w:bCs w:val="0"/>
          <w:szCs w:val="21"/>
        </w:rPr>
      </w:pPr>
      <w:r>
        <w:rPr>
          <w:rFonts w:hint="eastAsia" w:ascii="黑体" w:hAnsi="黑体" w:eastAsia="黑体" w:cs="黑体"/>
          <w:b w:val="0"/>
          <w:bCs w:val="0"/>
          <w:szCs w:val="21"/>
        </w:rPr>
        <w:t>5.2.1.4 四级认证人员（高级专业级）教育及工作经历要求</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专业要求：网络空间、信息安全、通讯、计算机相关或相近专业</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非以上专业的人员</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需首先通过二级人员认证。</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获证人员工作经历应至少满足下面一项要求：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硕士研究生（含）以上学历， 3年以上从事网络空间有关工作经历，其中至少1年以上项目经理经验；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b) 本科毕业，5年以上从事网络空间相关工作经历，其中至少2年以上项目经理经验；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c) 专科毕业，7年以上从事网络空间有关工作经历，其中至少2年以上项目经理经验；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d)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8年以上从事网络空间有关工作经历，其中至少2年以上项目经理经验； </w:t>
      </w:r>
    </w:p>
    <w:p>
      <w:pPr>
        <w:pStyle w:val="26"/>
        <w:spacing w:line="360" w:lineRule="auto"/>
        <w:ind w:firstLine="0" w:firstLineChars="0"/>
        <w:rPr>
          <w:rFonts w:hint="eastAsia" w:ascii="黑体" w:hAnsi="黑体" w:eastAsia="黑体" w:cs="黑体"/>
          <w:b w:val="0"/>
          <w:bCs w:val="0"/>
          <w:sz w:val="21"/>
          <w:szCs w:val="21"/>
        </w:rPr>
      </w:pPr>
      <w:r>
        <w:rPr>
          <w:rFonts w:hint="eastAsia" w:ascii="黑体" w:hAnsi="黑体" w:eastAsia="黑体" w:cs="黑体"/>
          <w:b w:val="0"/>
          <w:bCs w:val="0"/>
          <w:sz w:val="21"/>
          <w:szCs w:val="21"/>
        </w:rPr>
        <w:t>5.2.1.5 五级认证人员（专家级）教育与工作经历要求</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专业要求：网络空间、信息安全、计算机相关或相近专业；</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获证人员工作经历应至少满足下面一项要求：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硕士研究生（含）以上学历， 5年以上从事网络空间有关工作经历，其中至少2年项目经理经验；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b) 本科毕业，7年以上从事网络空间相关工作经历，其中3年项目经理经验；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c) 专科毕业，9年以上从事网络空间有关工作经历，其中至少3年项目经理经验； </w:t>
      </w:r>
    </w:p>
    <w:p>
      <w:pPr>
        <w:spacing w:line="360" w:lineRule="auto"/>
        <w:ind w:left="630" w:leftChars="200" w:hanging="210" w:hangingChars="100"/>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d) 10年以上从事网络空间有关工作经历，其中至少3年项目经理经验</w:t>
      </w:r>
      <w:r>
        <w:rPr>
          <w:rFonts w:hint="eastAsia" w:ascii="Times New Roman" w:hAnsi="Times New Roman" w:eastAsia="宋体" w:cs="Times New Roman"/>
          <w:kern w:val="0"/>
          <w:szCs w:val="21"/>
          <w:lang w:eastAsia="zh-CN"/>
        </w:rPr>
        <w:t>。</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职称要求： </w:t>
      </w:r>
    </w:p>
    <w:p>
      <w:pPr>
        <w:spacing w:line="360" w:lineRule="auto"/>
        <w:ind w:left="735" w:leftChars="200" w:hanging="315" w:hangingChars="150"/>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具有信息技术相关专业的高级技术职称</w:t>
      </w:r>
      <w:r>
        <w:rPr>
          <w:rFonts w:hint="eastAsia" w:ascii="Times New Roman" w:hAnsi="Times New Roman" w:eastAsia="宋体" w:cs="Times New Roman"/>
          <w:kern w:val="0"/>
          <w:szCs w:val="21"/>
          <w:lang w:eastAsia="zh-CN"/>
        </w:rPr>
        <w:t>（含副高）；</w:t>
      </w:r>
    </w:p>
    <w:p>
      <w:pPr>
        <w:spacing w:line="360" w:lineRule="auto"/>
        <w:rPr>
          <w:rFonts w:hint="eastAsia" w:ascii="黑体" w:hAnsi="黑体" w:eastAsia="黑体" w:cs="黑体"/>
          <w:b w:val="0"/>
          <w:bCs w:val="0"/>
          <w:color w:val="000000"/>
          <w:kern w:val="44"/>
          <w:szCs w:val="21"/>
        </w:rPr>
      </w:pPr>
      <w:r>
        <w:rPr>
          <w:rFonts w:hint="eastAsia" w:ascii="黑体" w:hAnsi="黑体" w:eastAsia="黑体" w:cs="黑体"/>
          <w:b w:val="0"/>
          <w:bCs w:val="0"/>
          <w:color w:val="000000"/>
          <w:kern w:val="44"/>
          <w:szCs w:val="21"/>
        </w:rPr>
        <w:t>5.2.1.6  其他要求</w:t>
      </w:r>
    </w:p>
    <w:p>
      <w:pPr>
        <w:spacing w:line="360" w:lineRule="auto"/>
        <w:ind w:firstLine="420" w:firstLineChars="200"/>
        <w:rPr>
          <w:rFonts w:hint="eastAsia" w:ascii="宋体" w:hAnsi="宋体" w:eastAsia="宋体" w:cs="宋体"/>
          <w:b w:val="0"/>
          <w:bCs w:val="0"/>
          <w:color w:val="000000"/>
          <w:kern w:val="44"/>
          <w:szCs w:val="21"/>
          <w:lang w:eastAsia="zh-CN"/>
        </w:rPr>
      </w:pPr>
      <w:r>
        <w:rPr>
          <w:rFonts w:hint="eastAsia" w:ascii="宋体" w:hAnsi="宋体" w:eastAsia="宋体" w:cs="宋体"/>
          <w:b w:val="0"/>
          <w:bCs w:val="0"/>
          <w:color w:val="000000"/>
          <w:kern w:val="44"/>
          <w:szCs w:val="21"/>
          <w:lang w:eastAsia="zh-CN"/>
        </w:rPr>
        <w:t>除</w:t>
      </w:r>
      <w:r>
        <w:rPr>
          <w:rFonts w:hint="eastAsia" w:ascii="宋体" w:hAnsi="宋体" w:eastAsia="宋体" w:cs="宋体"/>
          <w:b w:val="0"/>
          <w:bCs w:val="0"/>
          <w:color w:val="000000"/>
          <w:kern w:val="44"/>
          <w:szCs w:val="21"/>
          <w:lang w:val="en-US" w:eastAsia="zh-CN"/>
        </w:rPr>
        <w:t>5.2.1.1-5.2.1.5外的</w:t>
      </w:r>
      <w:r>
        <w:rPr>
          <w:rFonts w:hint="eastAsia" w:ascii="宋体" w:hAnsi="宋体" w:eastAsia="宋体" w:cs="宋体"/>
          <w:b w:val="0"/>
          <w:bCs w:val="0"/>
          <w:color w:val="000000"/>
          <w:kern w:val="44"/>
          <w:szCs w:val="21"/>
          <w:lang w:eastAsia="zh-CN"/>
        </w:rPr>
        <w:t>其他要求：</w:t>
      </w:r>
    </w:p>
    <w:p>
      <w:pPr>
        <w:numPr>
          <w:ilvl w:val="0"/>
          <w:numId w:val="3"/>
        </w:num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满足评定要求的工作经历应在取得相应学历后获得。</w:t>
      </w:r>
    </w:p>
    <w:p>
      <w:pPr>
        <w:numPr>
          <w:ilvl w:val="0"/>
          <w:numId w:val="3"/>
        </w:numPr>
        <w:spacing w:line="360" w:lineRule="auto"/>
        <w:ind w:left="0" w:leftChars="0"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申请人应提交工作经历的书面证明，证明中应提供申请人从事的工作</w:t>
      </w:r>
      <w:r>
        <w:rPr>
          <w:rFonts w:ascii="Times New Roman" w:hAnsi="Times New Roman" w:eastAsia="宋体" w:cs="Times New Roman"/>
          <w:kern w:val="0"/>
          <w:szCs w:val="21"/>
        </w:rPr>
        <w:t>职责、岗位、级别和主要工作内容。</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实习经历不能包括在工作经历内。</w:t>
      </w:r>
    </w:p>
    <w:p>
      <w:pPr>
        <w:pStyle w:val="26"/>
        <w:spacing w:line="360" w:lineRule="auto"/>
        <w:ind w:firstLine="0" w:firstLineChars="0"/>
        <w:outlineLvl w:val="2"/>
        <w:rPr>
          <w:rFonts w:hint="eastAsia" w:ascii="黑体" w:hAnsi="黑体" w:eastAsia="黑体" w:cs="黑体"/>
          <w:b w:val="0"/>
          <w:bCs w:val="0"/>
          <w:szCs w:val="21"/>
        </w:rPr>
      </w:pPr>
      <w:bookmarkStart w:id="29" w:name="_Toc30362"/>
      <w:bookmarkStart w:id="30" w:name="_Toc20697"/>
      <w:bookmarkStart w:id="31" w:name="_Toc7084"/>
      <w:r>
        <w:rPr>
          <w:rFonts w:hint="eastAsia" w:ascii="黑体" w:hAnsi="黑体" w:eastAsia="黑体" w:cs="黑体"/>
          <w:b w:val="0"/>
          <w:bCs w:val="0"/>
          <w:szCs w:val="21"/>
        </w:rPr>
        <w:t>5.2.2 考试要求</w:t>
      </w:r>
      <w:bookmarkEnd w:id="29"/>
      <w:bookmarkEnd w:id="30"/>
      <w:bookmarkEnd w:id="31"/>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获证人员应满足下面要求：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通过其申请的相应认证类别和级别的考试，包括笔试和实操（必要时）；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b) 必要时，通过由第三方认证或评估机构组织的专家面试；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c) 必要时，通过由第三方认证或评估机构组织的工作现场见证。 </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d）一、二级</w:t>
      </w:r>
      <w:r>
        <w:rPr>
          <w:rFonts w:hint="eastAsia" w:ascii="Times New Roman" w:hAnsi="Times New Roman" w:eastAsia="宋体" w:cs="Times New Roman"/>
          <w:kern w:val="0"/>
          <w:szCs w:val="21"/>
          <w:lang w:eastAsia="zh-CN"/>
        </w:rPr>
        <w:t>认证</w:t>
      </w:r>
      <w:r>
        <w:rPr>
          <w:rFonts w:hint="eastAsia" w:ascii="Times New Roman" w:hAnsi="Times New Roman" w:eastAsia="宋体" w:cs="Times New Roman"/>
          <w:kern w:val="0"/>
          <w:szCs w:val="21"/>
        </w:rPr>
        <w:t>人员需要掌握附录B网络空间安全专业人员认证通用知识要求”中所要求的知识，且通过相应的考试。</w:t>
      </w:r>
    </w:p>
    <w:p>
      <w:pPr>
        <w:spacing w:line="360" w:lineRule="auto"/>
        <w:ind w:left="630" w:leftChars="200" w:hanging="210" w:hangingChars="100"/>
        <w:rPr>
          <w:rFonts w:ascii="Times New Roman" w:hAnsi="Times New Roman" w:eastAsia="宋体" w:cs="Times New Roman"/>
          <w:color w:val="auto"/>
          <w:kern w:val="0"/>
          <w:szCs w:val="21"/>
        </w:rPr>
      </w:pPr>
      <w:r>
        <w:rPr>
          <w:rFonts w:hint="eastAsia" w:ascii="Times New Roman" w:hAnsi="Times New Roman" w:eastAsia="宋体" w:cs="Times New Roman"/>
          <w:kern w:val="0"/>
          <w:szCs w:val="21"/>
        </w:rPr>
        <w:t>e）</w:t>
      </w:r>
      <w:r>
        <w:rPr>
          <w:rFonts w:hint="eastAsia" w:ascii="Times New Roman" w:hAnsi="Times New Roman" w:eastAsia="宋体" w:cs="Times New Roman"/>
          <w:color w:val="auto"/>
          <w:kern w:val="0"/>
          <w:szCs w:val="21"/>
        </w:rPr>
        <w:t>三、四级</w:t>
      </w:r>
      <w:r>
        <w:rPr>
          <w:rFonts w:hint="eastAsia" w:ascii="Times New Roman" w:hAnsi="Times New Roman" w:eastAsia="宋体" w:cs="Times New Roman"/>
          <w:color w:val="auto"/>
          <w:kern w:val="0"/>
          <w:szCs w:val="21"/>
          <w:lang w:eastAsia="zh-CN"/>
        </w:rPr>
        <w:t>认证</w:t>
      </w:r>
      <w:r>
        <w:rPr>
          <w:rFonts w:hint="eastAsia" w:ascii="Times New Roman" w:hAnsi="Times New Roman" w:eastAsia="宋体" w:cs="Times New Roman"/>
          <w:color w:val="auto"/>
          <w:kern w:val="0"/>
          <w:szCs w:val="21"/>
        </w:rPr>
        <w:t>人员分类别和专业方向，各类别专业方向人员须掌握附录</w:t>
      </w:r>
      <w:r>
        <w:rPr>
          <w:rFonts w:hint="eastAsia" w:ascii="Times New Roman" w:hAnsi="Times New Roman" w:eastAsia="宋体" w:cs="Times New Roman"/>
          <w:color w:val="auto"/>
          <w:kern w:val="0"/>
          <w:szCs w:val="21"/>
          <w:lang w:val="en-US" w:eastAsia="zh-CN"/>
        </w:rPr>
        <w:t>(C~J)</w:t>
      </w:r>
      <w:r>
        <w:rPr>
          <w:rFonts w:hint="eastAsia" w:ascii="Times New Roman" w:hAnsi="Times New Roman" w:eastAsia="宋体" w:cs="Times New Roman"/>
          <w:color w:val="auto"/>
          <w:kern w:val="0"/>
          <w:szCs w:val="21"/>
        </w:rPr>
        <w:t>中</w:t>
      </w:r>
      <w:r>
        <w:rPr>
          <w:rFonts w:hint="eastAsia" w:ascii="Times New Roman" w:hAnsi="Times New Roman" w:eastAsia="宋体" w:cs="Times New Roman"/>
          <w:color w:val="auto"/>
          <w:kern w:val="0"/>
          <w:szCs w:val="21"/>
          <w:lang w:eastAsia="zh-CN"/>
        </w:rPr>
        <w:t>对应</w:t>
      </w:r>
      <w:r>
        <w:rPr>
          <w:rFonts w:hint="eastAsia" w:ascii="Times New Roman" w:hAnsi="Times New Roman" w:eastAsia="宋体" w:cs="Times New Roman"/>
          <w:color w:val="auto"/>
          <w:kern w:val="0"/>
          <w:szCs w:val="21"/>
        </w:rPr>
        <w:t>方向要求的知识，且通过相应的考试。</w:t>
      </w:r>
    </w:p>
    <w:p>
      <w:pPr>
        <w:spacing w:line="360" w:lineRule="auto"/>
        <w:ind w:left="630" w:leftChars="200" w:hanging="210" w:hangingChars="100"/>
        <w:rPr>
          <w:rFonts w:ascii="Times New Roman" w:hAnsi="Times New Roman" w:eastAsia="宋体" w:cs="Times New Roman"/>
          <w:kern w:val="0"/>
          <w:szCs w:val="21"/>
        </w:rPr>
      </w:pPr>
      <w:r>
        <w:rPr>
          <w:rFonts w:hint="eastAsia" w:ascii="Times New Roman" w:hAnsi="Times New Roman" w:eastAsia="宋体" w:cs="Times New Roman"/>
          <w:kern w:val="0"/>
          <w:szCs w:val="21"/>
        </w:rPr>
        <w:t>f）五级</w:t>
      </w:r>
      <w:r>
        <w:rPr>
          <w:rFonts w:hint="eastAsia" w:ascii="Times New Roman" w:hAnsi="Times New Roman" w:eastAsia="宋体" w:cs="Times New Roman"/>
          <w:kern w:val="0"/>
          <w:szCs w:val="21"/>
          <w:lang w:eastAsia="zh-CN"/>
        </w:rPr>
        <w:t>认证</w:t>
      </w:r>
      <w:r>
        <w:rPr>
          <w:rFonts w:hint="eastAsia" w:ascii="Times New Roman" w:hAnsi="Times New Roman" w:eastAsia="宋体" w:cs="Times New Roman"/>
          <w:kern w:val="0"/>
          <w:szCs w:val="21"/>
        </w:rPr>
        <w:t>人员为资历评定，学历、工作经历</w:t>
      </w:r>
      <w:r>
        <w:rPr>
          <w:rFonts w:hint="eastAsia" w:ascii="Times New Roman" w:hAnsi="Times New Roman" w:eastAsia="宋体" w:cs="Times New Roman"/>
          <w:kern w:val="0"/>
          <w:szCs w:val="21"/>
          <w:lang w:eastAsia="zh-CN"/>
        </w:rPr>
        <w:t>、职称</w:t>
      </w:r>
      <w:r>
        <w:rPr>
          <w:rFonts w:hint="eastAsia" w:ascii="Times New Roman" w:hAnsi="Times New Roman" w:eastAsia="宋体" w:cs="Times New Roman"/>
          <w:kern w:val="0"/>
          <w:szCs w:val="21"/>
        </w:rPr>
        <w:t>符合条款5</w:t>
      </w:r>
      <w:r>
        <w:rPr>
          <w:rFonts w:ascii="Times New Roman" w:hAnsi="Times New Roman" w:eastAsia="宋体" w:cs="Times New Roman"/>
          <w:kern w:val="0"/>
          <w:szCs w:val="21"/>
        </w:rPr>
        <w:t>.2.1.5</w:t>
      </w:r>
      <w:r>
        <w:rPr>
          <w:rFonts w:hint="eastAsia" w:ascii="Times New Roman" w:hAnsi="Times New Roman" w:eastAsia="宋体" w:cs="Times New Roman"/>
          <w:kern w:val="0"/>
          <w:szCs w:val="21"/>
        </w:rPr>
        <w:t>的条件即可申请，无考试要求。</w:t>
      </w:r>
    </w:p>
    <w:p>
      <w:pPr>
        <w:spacing w:line="360" w:lineRule="auto"/>
        <w:outlineLvl w:val="1"/>
        <w:rPr>
          <w:rFonts w:hint="eastAsia" w:ascii="黑体" w:hAnsi="黑体" w:eastAsia="黑体" w:cs="黑体"/>
          <w:b w:val="0"/>
          <w:bCs w:val="0"/>
          <w:color w:val="000000"/>
          <w:kern w:val="44"/>
          <w:szCs w:val="21"/>
        </w:rPr>
      </w:pPr>
      <w:bookmarkStart w:id="32" w:name="_Toc27551"/>
      <w:r>
        <w:rPr>
          <w:rFonts w:hint="eastAsia" w:ascii="黑体" w:hAnsi="黑体" w:eastAsia="黑体" w:cs="黑体"/>
          <w:b w:val="0"/>
          <w:bCs w:val="0"/>
          <w:color w:val="000000"/>
          <w:kern w:val="44"/>
          <w:szCs w:val="21"/>
        </w:rPr>
        <w:t>5.3 再认证资格要求</w:t>
      </w:r>
      <w:bookmarkEnd w:id="32"/>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1）已通过网络空间专业人员认证，且在认证有效期内；</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）获证后</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年内至少有</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年的网络空间工作经历；</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）每年不少于</w:t>
      </w:r>
      <w:r>
        <w:rPr>
          <w:rFonts w:ascii="Times New Roman" w:hAnsi="Times New Roman" w:eastAsia="宋体" w:cs="Times New Roman"/>
          <w:kern w:val="0"/>
          <w:szCs w:val="21"/>
        </w:rPr>
        <w:t>16</w:t>
      </w:r>
      <w:r>
        <w:rPr>
          <w:rFonts w:hint="eastAsia" w:ascii="Times New Roman" w:hAnsi="Times New Roman" w:eastAsia="宋体" w:cs="Times New Roman"/>
          <w:kern w:val="0"/>
          <w:szCs w:val="21"/>
        </w:rPr>
        <w:t>课时的网络空间相关专业的继续教育课程学习。</w:t>
      </w:r>
    </w:p>
    <w:p>
      <w:pPr>
        <w:spacing w:line="360" w:lineRule="auto"/>
        <w:outlineLvl w:val="1"/>
        <w:rPr>
          <w:rFonts w:hint="eastAsia" w:ascii="黑体" w:hAnsi="黑体" w:eastAsia="黑体" w:cs="黑体"/>
          <w:b w:val="0"/>
          <w:bCs w:val="0"/>
          <w:color w:val="000000"/>
          <w:kern w:val="44"/>
          <w:szCs w:val="21"/>
        </w:rPr>
      </w:pPr>
      <w:bookmarkStart w:id="33" w:name="_Toc1564"/>
      <w:r>
        <w:rPr>
          <w:rFonts w:hint="eastAsia" w:ascii="黑体" w:hAnsi="黑体" w:eastAsia="黑体" w:cs="黑体"/>
          <w:b w:val="0"/>
          <w:bCs w:val="0"/>
          <w:color w:val="000000"/>
          <w:kern w:val="44"/>
          <w:szCs w:val="21"/>
        </w:rPr>
        <w:t>5.4 认证升级资格要求</w:t>
      </w:r>
      <w:bookmarkEnd w:id="33"/>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获证人员应满足下面要求：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a) 已通过网络空间专业人员认证，且在认证有效期内；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b) 满足网络网络空间专业人员高一级别认证要求，包括工作经历、培训和考试要求。</w:t>
      </w:r>
    </w:p>
    <w:p>
      <w:pPr>
        <w:spacing w:line="360" w:lineRule="auto"/>
        <w:outlineLvl w:val="0"/>
        <w:rPr>
          <w:rFonts w:hint="eastAsia" w:ascii="黑体" w:hAnsi="黑体" w:eastAsia="黑体" w:cs="黑体"/>
          <w:b w:val="0"/>
          <w:bCs w:val="0"/>
          <w:color w:val="000000"/>
          <w:kern w:val="44"/>
          <w:szCs w:val="21"/>
        </w:rPr>
      </w:pPr>
      <w:bookmarkStart w:id="34" w:name="_Toc27224"/>
      <w:r>
        <w:rPr>
          <w:rFonts w:hint="eastAsia" w:ascii="黑体" w:hAnsi="黑体" w:eastAsia="黑体" w:cs="黑体"/>
          <w:b w:val="0"/>
          <w:bCs w:val="0"/>
          <w:color w:val="000000"/>
          <w:kern w:val="44"/>
          <w:szCs w:val="21"/>
        </w:rPr>
        <w:t>6. 认证评价</w:t>
      </w:r>
      <w:bookmarkEnd w:id="34"/>
    </w:p>
    <w:p>
      <w:pPr>
        <w:spacing w:line="360" w:lineRule="auto"/>
        <w:outlineLvl w:val="1"/>
        <w:rPr>
          <w:rFonts w:hint="eastAsia" w:ascii="黑体" w:hAnsi="黑体" w:eastAsia="黑体" w:cs="黑体"/>
          <w:b w:val="0"/>
          <w:bCs w:val="0"/>
          <w:color w:val="000000" w:themeColor="text1"/>
          <w:szCs w:val="21"/>
          <w14:textFill>
            <w14:solidFill>
              <w14:schemeClr w14:val="tx1"/>
            </w14:solidFill>
          </w14:textFill>
        </w:rPr>
      </w:pPr>
      <w:bookmarkStart w:id="35" w:name="_Toc27264"/>
      <w:r>
        <w:rPr>
          <w:rFonts w:hint="eastAsia" w:ascii="黑体" w:hAnsi="黑体" w:eastAsia="黑体" w:cs="黑体"/>
          <w:b w:val="0"/>
          <w:bCs w:val="0"/>
          <w:color w:val="000000"/>
          <w:kern w:val="44"/>
          <w:szCs w:val="21"/>
        </w:rPr>
        <w:t>6.1 认证评价方式</w:t>
      </w:r>
      <w:bookmarkEnd w:id="35"/>
    </w:p>
    <w:p>
      <w:pPr>
        <w:spacing w:line="360" w:lineRule="auto"/>
        <w:ind w:firstLine="420" w:firstLineChars="200"/>
        <w:outlineLvl w:val="1"/>
        <w:rPr>
          <w:rFonts w:hint="eastAsia" w:ascii="黑体" w:hAnsi="黑体" w:eastAsia="黑体" w:cs="黑体"/>
          <w:b w:val="0"/>
          <w:bCs w:val="0"/>
          <w:color w:val="000000" w:themeColor="text1"/>
          <w:szCs w:val="21"/>
          <w14:textFill>
            <w14:solidFill>
              <w14:schemeClr w14:val="tx1"/>
            </w14:solidFill>
          </w14:textFill>
        </w:rPr>
      </w:pPr>
      <w:bookmarkStart w:id="36" w:name="_Toc5156"/>
      <w:bookmarkStart w:id="37" w:name="_Toc19363"/>
      <w:r>
        <w:rPr>
          <w:rFonts w:hint="eastAsia" w:ascii="Songti SC Light" w:hAnsi="Songti SC Light" w:eastAsia="Songti SC Light"/>
          <w:color w:val="000000" w:themeColor="text1"/>
          <w:szCs w:val="21"/>
          <w14:textFill>
            <w14:solidFill>
              <w14:schemeClr w14:val="tx1"/>
            </w14:solidFill>
          </w14:textFill>
        </w:rPr>
        <w:t xml:space="preserve">书面考试 </w:t>
      </w:r>
      <w:r>
        <w:rPr>
          <w:rFonts w:ascii="Songti SC Light" w:hAnsi="Songti SC Light" w:eastAsia="Songti SC Light"/>
          <w:color w:val="000000" w:themeColor="text1"/>
          <w:szCs w:val="21"/>
          <w14:textFill>
            <w14:solidFill>
              <w14:schemeClr w14:val="tx1"/>
            </w14:solidFill>
          </w14:textFill>
        </w:rPr>
        <w:t xml:space="preserve">+ </w:t>
      </w:r>
      <w:r>
        <w:rPr>
          <w:rFonts w:hint="eastAsia" w:ascii="Songti SC Light" w:hAnsi="Songti SC Light" w:eastAsia="Songti SC Light"/>
          <w:szCs w:val="21"/>
        </w:rPr>
        <w:t>书面评价</w:t>
      </w:r>
      <w:r>
        <w:rPr>
          <w:rFonts w:hint="eastAsia" w:ascii="Songti SC Light" w:hAnsi="Songti SC Light" w:eastAsia="Songti SC Light"/>
          <w:color w:val="000000" w:themeColor="text1"/>
          <w:szCs w:val="21"/>
          <w14:textFill>
            <w14:solidFill>
              <w14:schemeClr w14:val="tx1"/>
            </w14:solidFill>
          </w14:textFill>
        </w:rPr>
        <w:t xml:space="preserve"> </w:t>
      </w:r>
      <w:r>
        <w:rPr>
          <w:rFonts w:ascii="Songti SC Light" w:hAnsi="Songti SC Light" w:eastAsia="Songti SC Light"/>
          <w:color w:val="000000" w:themeColor="text1"/>
          <w:szCs w:val="21"/>
          <w14:textFill>
            <w14:solidFill>
              <w14:schemeClr w14:val="tx1"/>
            </w14:solidFill>
          </w14:textFill>
        </w:rPr>
        <w:t xml:space="preserve">+ </w:t>
      </w:r>
      <w:r>
        <w:rPr>
          <w:rFonts w:hint="eastAsia" w:ascii="Songti SC Light" w:hAnsi="Songti SC Light" w:eastAsia="Songti SC Light"/>
          <w:color w:val="000000" w:themeColor="text1"/>
          <w:szCs w:val="21"/>
          <w14:textFill>
            <w14:solidFill>
              <w14:schemeClr w14:val="tx1"/>
            </w14:solidFill>
          </w14:textFill>
        </w:rPr>
        <w:t>面试（需要时）</w:t>
      </w:r>
      <w:r>
        <w:rPr>
          <w:rFonts w:hint="eastAsia" w:ascii="Songti SC Light" w:hAnsi="Songti SC Light" w:eastAsia="Songti SC Light"/>
          <w:color w:val="000000" w:themeColor="text1"/>
          <w:szCs w:val="21"/>
          <w14:textFill>
            <w14:solidFill>
              <w14:schemeClr w14:val="tx1"/>
            </w14:solidFill>
          </w14:textFill>
        </w:rPr>
        <w:br w:type="textWrapping"/>
      </w:r>
      <w:r>
        <w:rPr>
          <w:rFonts w:hint="eastAsia" w:ascii="黑体" w:hAnsi="黑体" w:eastAsia="黑体" w:cs="黑体"/>
          <w:b w:val="0"/>
          <w:bCs w:val="0"/>
          <w:color w:val="000000" w:themeColor="text1"/>
          <w:szCs w:val="21"/>
          <w14:textFill>
            <w14:solidFill>
              <w14:schemeClr w14:val="tx1"/>
            </w14:solidFill>
          </w14:textFill>
        </w:rPr>
        <w:t xml:space="preserve">6.2 </w:t>
      </w:r>
      <w:r>
        <w:rPr>
          <w:rFonts w:hint="eastAsia" w:ascii="黑体" w:hAnsi="黑体" w:eastAsia="黑体" w:cs="黑体"/>
          <w:b w:val="0"/>
          <w:bCs w:val="0"/>
          <w:color w:val="000000"/>
          <w:kern w:val="44"/>
          <w:szCs w:val="21"/>
        </w:rPr>
        <w:t>书面考试</w:t>
      </w:r>
      <w:bookmarkEnd w:id="36"/>
      <w:bookmarkEnd w:id="37"/>
    </w:p>
    <w:p>
      <w:pPr>
        <w:spacing w:line="360" w:lineRule="auto"/>
        <w:ind w:firstLine="420" w:firstLineChars="200"/>
        <w:rPr>
          <w:rFonts w:ascii="Songti SC Light" w:hAnsi="Songti SC Light" w:eastAsia="Songti SC Light"/>
          <w:color w:val="000000" w:themeColor="text1"/>
          <w:szCs w:val="21"/>
          <w14:textFill>
            <w14:solidFill>
              <w14:schemeClr w14:val="tx1"/>
            </w14:solidFill>
          </w14:textFill>
        </w:rPr>
      </w:pPr>
      <w:r>
        <w:rPr>
          <w:rFonts w:hint="eastAsia" w:ascii="Times New Roman" w:hAnsi="Times New Roman" w:eastAsia="宋体" w:cs="Times New Roman"/>
          <w:kern w:val="0"/>
          <w:szCs w:val="21"/>
        </w:rPr>
        <w:t>培训合格后，人员可参加第三方认证机构组织的相应级别的书面考试，考试大纲见附件</w:t>
      </w:r>
      <w:r>
        <w:rPr>
          <w:rFonts w:hint="eastAsia" w:ascii="Times New Roman" w:hAnsi="Times New Roman" w:eastAsia="宋体" w:cs="Times New Roman"/>
          <w:kern w:val="0"/>
          <w:szCs w:val="21"/>
          <w:lang w:val="en-US" w:eastAsia="zh-CN"/>
        </w:rPr>
        <w:t>(C-J)</w:t>
      </w:r>
      <w:r>
        <w:rPr>
          <w:rFonts w:hint="eastAsia" w:ascii="Times New Roman" w:hAnsi="Times New Roman" w:eastAsia="宋体" w:cs="Times New Roman"/>
          <w:kern w:val="0"/>
          <w:szCs w:val="21"/>
        </w:rPr>
        <w:t>要求。</w:t>
      </w:r>
    </w:p>
    <w:p>
      <w:pPr>
        <w:spacing w:line="360" w:lineRule="auto"/>
        <w:outlineLvl w:val="1"/>
        <w:rPr>
          <w:rFonts w:hint="eastAsia" w:ascii="黑体" w:hAnsi="黑体" w:eastAsia="黑体" w:cs="黑体"/>
          <w:b w:val="0"/>
          <w:bCs w:val="0"/>
          <w:color w:val="000000"/>
          <w:kern w:val="44"/>
          <w:szCs w:val="21"/>
        </w:rPr>
      </w:pPr>
      <w:bookmarkStart w:id="38" w:name="_Toc2777"/>
      <w:r>
        <w:rPr>
          <w:rFonts w:hint="eastAsia" w:ascii="黑体" w:hAnsi="黑体" w:eastAsia="黑体" w:cs="黑体"/>
          <w:b w:val="0"/>
          <w:bCs w:val="0"/>
          <w:color w:val="000000"/>
          <w:kern w:val="44"/>
          <w:szCs w:val="21"/>
        </w:rPr>
        <w:t>6.3 书面评价</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6.3.1 </w:t>
      </w:r>
      <w:r>
        <w:rPr>
          <w:rFonts w:ascii="Times New Roman" w:hAnsi="Times New Roman" w:eastAsia="宋体" w:cs="Times New Roman"/>
          <w:kern w:val="0"/>
          <w:szCs w:val="21"/>
        </w:rPr>
        <w:t>满足</w:t>
      </w:r>
      <w:r>
        <w:rPr>
          <w:rFonts w:hint="eastAsia" w:ascii="Times New Roman" w:hAnsi="Times New Roman" w:eastAsia="宋体" w:cs="Times New Roman"/>
          <w:kern w:val="0"/>
          <w:szCs w:val="21"/>
        </w:rPr>
        <w:t>一级认</w:t>
      </w:r>
      <w:r>
        <w:rPr>
          <w:rFonts w:ascii="Times New Roman" w:hAnsi="Times New Roman" w:eastAsia="宋体" w:cs="Times New Roman"/>
          <w:kern w:val="0"/>
          <w:szCs w:val="21"/>
        </w:rPr>
        <w:t>证要求的</w:t>
      </w:r>
      <w:r>
        <w:rPr>
          <w:rFonts w:hint="eastAsia" w:ascii="Times New Roman" w:hAnsi="Times New Roman" w:eastAsia="宋体" w:cs="Times New Roman"/>
          <w:kern w:val="0"/>
          <w:szCs w:val="21"/>
        </w:rPr>
        <w:t>网络空间安全</w:t>
      </w:r>
      <w:r>
        <w:rPr>
          <w:rFonts w:hint="eastAsia" w:ascii="Times New Roman" w:hAnsi="Times New Roman" w:eastAsia="宋体" w:cs="Times New Roman"/>
          <w:kern w:val="0"/>
          <w:szCs w:val="21"/>
          <w:lang w:eastAsia="zh-CN"/>
        </w:rPr>
        <w:t>从业</w:t>
      </w:r>
      <w:r>
        <w:rPr>
          <w:rFonts w:hint="eastAsia" w:ascii="Times New Roman" w:hAnsi="Times New Roman" w:eastAsia="宋体" w:cs="Times New Roman"/>
          <w:kern w:val="0"/>
          <w:szCs w:val="21"/>
        </w:rPr>
        <w:t>人员，</w:t>
      </w:r>
      <w:r>
        <w:rPr>
          <w:rFonts w:ascii="Times New Roman" w:hAnsi="Times New Roman" w:eastAsia="宋体" w:cs="Times New Roman"/>
          <w:kern w:val="0"/>
          <w:szCs w:val="21"/>
        </w:rPr>
        <w:t>提交认证</w:t>
      </w:r>
      <w:r>
        <w:rPr>
          <w:rFonts w:hint="eastAsia" w:ascii="Times New Roman" w:hAnsi="Times New Roman" w:eastAsia="宋体" w:cs="Times New Roman"/>
          <w:kern w:val="0"/>
          <w:szCs w:val="21"/>
        </w:rPr>
        <w:t>的</w:t>
      </w:r>
      <w:r>
        <w:rPr>
          <w:rFonts w:ascii="Times New Roman" w:hAnsi="Times New Roman" w:eastAsia="宋体" w:cs="Times New Roman"/>
          <w:kern w:val="0"/>
          <w:szCs w:val="21"/>
        </w:rPr>
        <w:t>申请材料，包括</w:t>
      </w:r>
      <w:r>
        <w:rPr>
          <w:rFonts w:hint="eastAsia" w:ascii="Times New Roman" w:hAnsi="Times New Roman" w:eastAsia="宋体" w:cs="Times New Roman"/>
          <w:kern w:val="0"/>
          <w:szCs w:val="21"/>
          <w:lang w:eastAsia="zh-CN"/>
        </w:rPr>
        <w:t>但不限于</w:t>
      </w:r>
      <w:r>
        <w:rPr>
          <w:rFonts w:ascii="Times New Roman" w:hAnsi="Times New Roman" w:eastAsia="宋体" w:cs="Times New Roman"/>
          <w:kern w:val="0"/>
          <w:szCs w:val="21"/>
        </w:rPr>
        <w:t>学籍注册证明、身份证明(身份证、军官证等复印件)、考试</w:t>
      </w:r>
      <w:r>
        <w:rPr>
          <w:rFonts w:hint="eastAsia" w:ascii="Times New Roman" w:hAnsi="Times New Roman" w:eastAsia="宋体" w:cs="Times New Roman"/>
          <w:kern w:val="0"/>
          <w:szCs w:val="21"/>
        </w:rPr>
        <w:t>合格证明</w:t>
      </w:r>
      <w:r>
        <w:rPr>
          <w:rFonts w:hint="eastAsia" w:ascii="Times New Roman" w:hAnsi="Times New Roman" w:eastAsia="宋体" w:cs="Times New Roman"/>
          <w:kern w:val="0"/>
          <w:szCs w:val="21"/>
          <w:lang w:eastAsia="zh-CN"/>
        </w:rPr>
        <w:t>、工作经历</w:t>
      </w:r>
      <w:r>
        <w:rPr>
          <w:rFonts w:ascii="Times New Roman" w:hAnsi="Times New Roman" w:eastAsia="宋体" w:cs="Times New Roman"/>
          <w:kern w:val="0"/>
          <w:szCs w:val="21"/>
        </w:rPr>
        <w:t>等资格证明材料</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6.3.2 </w:t>
      </w:r>
      <w:r>
        <w:rPr>
          <w:rFonts w:ascii="Times New Roman" w:hAnsi="Times New Roman" w:eastAsia="宋体" w:cs="Times New Roman"/>
          <w:kern w:val="0"/>
          <w:szCs w:val="21"/>
        </w:rPr>
        <w:t>满足认证</w:t>
      </w:r>
      <w:r>
        <w:rPr>
          <w:rFonts w:hint="eastAsia" w:ascii="Times New Roman" w:hAnsi="Times New Roman" w:eastAsia="宋体" w:cs="Times New Roman"/>
          <w:kern w:val="0"/>
          <w:szCs w:val="21"/>
        </w:rPr>
        <w:t>其他级别和类别</w:t>
      </w:r>
      <w:r>
        <w:rPr>
          <w:rFonts w:ascii="Times New Roman" w:hAnsi="Times New Roman" w:eastAsia="宋体" w:cs="Times New Roman"/>
          <w:kern w:val="0"/>
          <w:szCs w:val="21"/>
        </w:rPr>
        <w:t>要求的的</w:t>
      </w:r>
      <w:r>
        <w:rPr>
          <w:rFonts w:hint="eastAsia" w:ascii="Times New Roman" w:hAnsi="Times New Roman" w:eastAsia="宋体" w:cs="Times New Roman"/>
          <w:kern w:val="0"/>
          <w:szCs w:val="21"/>
        </w:rPr>
        <w:t>网络空间安全人员</w:t>
      </w:r>
      <w:r>
        <w:rPr>
          <w:rFonts w:ascii="Times New Roman" w:hAnsi="Times New Roman" w:eastAsia="宋体" w:cs="Times New Roman"/>
          <w:kern w:val="0"/>
          <w:szCs w:val="21"/>
        </w:rPr>
        <w:t>提交</w:t>
      </w:r>
      <w:r>
        <w:rPr>
          <w:rFonts w:hint="eastAsia" w:ascii="Times New Roman" w:hAnsi="Times New Roman" w:eastAsia="宋体" w:cs="Times New Roman"/>
          <w:kern w:val="0"/>
          <w:szCs w:val="21"/>
        </w:rPr>
        <w:t>的</w:t>
      </w:r>
      <w:r>
        <w:rPr>
          <w:rFonts w:ascii="Times New Roman" w:hAnsi="Times New Roman" w:eastAsia="宋体" w:cs="Times New Roman"/>
          <w:kern w:val="0"/>
          <w:szCs w:val="21"/>
        </w:rPr>
        <w:t>认证申请材料，包括身份证明(身份证、军官证等复印件)、学历、</w:t>
      </w:r>
      <w:r>
        <w:rPr>
          <w:rFonts w:hint="eastAsia" w:ascii="Times New Roman" w:hAnsi="Times New Roman" w:eastAsia="宋体" w:cs="Times New Roman"/>
          <w:kern w:val="0"/>
          <w:szCs w:val="21"/>
          <w:lang w:eastAsia="zh-CN"/>
        </w:rPr>
        <w:t>工作</w:t>
      </w:r>
      <w:r>
        <w:rPr>
          <w:rFonts w:ascii="Times New Roman" w:hAnsi="Times New Roman" w:eastAsia="宋体" w:cs="Times New Roman"/>
          <w:kern w:val="0"/>
          <w:szCs w:val="21"/>
        </w:rPr>
        <w:t>经历</w:t>
      </w:r>
      <w:r>
        <w:rPr>
          <w:rFonts w:hint="eastAsia" w:ascii="Times New Roman" w:hAnsi="Times New Roman" w:eastAsia="宋体" w:cs="Times New Roman"/>
          <w:kern w:val="0"/>
          <w:szCs w:val="21"/>
        </w:rPr>
        <w:t>、书面考试合格等</w:t>
      </w:r>
      <w:r>
        <w:rPr>
          <w:rFonts w:ascii="Times New Roman" w:hAnsi="Times New Roman" w:eastAsia="宋体" w:cs="Times New Roman"/>
          <w:kern w:val="0"/>
          <w:szCs w:val="21"/>
        </w:rPr>
        <w:t>证明材料</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6.3.3 </w:t>
      </w:r>
      <w:r>
        <w:rPr>
          <w:rFonts w:ascii="Times New Roman" w:hAnsi="Times New Roman" w:eastAsia="宋体" w:cs="Times New Roman"/>
          <w:kern w:val="0"/>
          <w:szCs w:val="21"/>
        </w:rPr>
        <w:t>收到申请材料后，</w:t>
      </w:r>
      <w:r>
        <w:rPr>
          <w:rFonts w:hint="eastAsia" w:ascii="Times New Roman" w:hAnsi="Times New Roman" w:eastAsia="宋体" w:cs="Times New Roman"/>
          <w:kern w:val="0"/>
          <w:szCs w:val="21"/>
        </w:rPr>
        <w:t>第三方认证机构的</w:t>
      </w:r>
      <w:r>
        <w:rPr>
          <w:rFonts w:hint="eastAsia" w:ascii="Times New Roman" w:hAnsi="Times New Roman" w:eastAsia="宋体" w:cs="Times New Roman"/>
          <w:kern w:val="0"/>
          <w:szCs w:val="21"/>
          <w:lang w:eastAsia="zh-CN"/>
        </w:rPr>
        <w:t>申请评审人员</w:t>
      </w:r>
      <w:r>
        <w:rPr>
          <w:rFonts w:ascii="Times New Roman" w:hAnsi="Times New Roman" w:eastAsia="宋体" w:cs="Times New Roman"/>
          <w:kern w:val="0"/>
          <w:szCs w:val="21"/>
        </w:rPr>
        <w:t>负责审查申请人提交的申请资料，若申请人提交的资料齐全、填写清楚、正确，且资料表明符合认证准则基本要求的则予以正式受理</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6.3.4 </w:t>
      </w:r>
      <w:r>
        <w:rPr>
          <w:rFonts w:ascii="Times New Roman" w:hAnsi="Times New Roman" w:eastAsia="宋体" w:cs="Times New Roman"/>
          <w:kern w:val="0"/>
          <w:szCs w:val="21"/>
        </w:rPr>
        <w:t>在资料审查过程中，</w:t>
      </w:r>
      <w:r>
        <w:rPr>
          <w:rFonts w:hint="eastAsia" w:ascii="Times New Roman" w:hAnsi="Times New Roman" w:eastAsia="宋体" w:cs="Times New Roman"/>
          <w:kern w:val="0"/>
          <w:szCs w:val="21"/>
          <w:lang w:eastAsia="zh-CN"/>
        </w:rPr>
        <w:t>申请评审人员</w:t>
      </w:r>
      <w:r>
        <w:rPr>
          <w:rFonts w:ascii="Times New Roman" w:hAnsi="Times New Roman" w:eastAsia="宋体" w:cs="Times New Roman"/>
          <w:kern w:val="0"/>
          <w:szCs w:val="21"/>
        </w:rPr>
        <w:t>应将所发现的与认证条件不符合之处通知申请人</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6.3.5 </w:t>
      </w:r>
      <w:r>
        <w:rPr>
          <w:rFonts w:hint="eastAsia" w:ascii="Times New Roman" w:hAnsi="Times New Roman" w:eastAsia="宋体" w:cs="Times New Roman"/>
          <w:kern w:val="0"/>
          <w:szCs w:val="21"/>
          <w:lang w:eastAsia="zh-CN"/>
        </w:rPr>
        <w:t>认证审核人员</w:t>
      </w:r>
      <w:r>
        <w:rPr>
          <w:rFonts w:ascii="Times New Roman" w:hAnsi="Times New Roman" w:eastAsia="宋体" w:cs="Times New Roman"/>
          <w:kern w:val="0"/>
          <w:szCs w:val="21"/>
        </w:rPr>
        <w:t>对申请人提交认证申请材料进行审查，并给出符合性评价</w:t>
      </w:r>
      <w:r>
        <w:rPr>
          <w:rFonts w:hint="eastAsia" w:ascii="Times New Roman" w:hAnsi="Times New Roman" w:eastAsia="宋体" w:cs="Times New Roman"/>
          <w:kern w:val="0"/>
          <w:szCs w:val="21"/>
        </w:rPr>
        <w:t>结论</w:t>
      </w:r>
      <w:r>
        <w:rPr>
          <w:rFonts w:ascii="Times New Roman" w:hAnsi="Times New Roman" w:eastAsia="宋体" w:cs="Times New Roman"/>
          <w:kern w:val="0"/>
          <w:szCs w:val="21"/>
        </w:rPr>
        <w:t>论</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6.3.6  </w:t>
      </w:r>
      <w:r>
        <w:rPr>
          <w:rFonts w:hint="eastAsia" w:ascii="Times New Roman" w:hAnsi="Times New Roman" w:eastAsia="宋体" w:cs="Times New Roman"/>
          <w:kern w:val="0"/>
          <w:szCs w:val="21"/>
          <w:lang w:eastAsia="zh-CN"/>
        </w:rPr>
        <w:t>认证审核人员</w:t>
      </w:r>
      <w:r>
        <w:rPr>
          <w:rFonts w:ascii="Times New Roman" w:hAnsi="Times New Roman" w:eastAsia="宋体" w:cs="Times New Roman"/>
          <w:kern w:val="0"/>
          <w:szCs w:val="21"/>
        </w:rPr>
        <w:t>对申请人的考试成绩进行核实，并给出其在所申请的专业方向和对应级别的知识水平和应用能力的评价结论</w:t>
      </w:r>
      <w:r>
        <w:rPr>
          <w:rFonts w:hint="eastAsia" w:ascii="Times New Roman" w:hAnsi="Times New Roman" w:eastAsia="宋体" w:cs="Times New Roman"/>
          <w:kern w:val="0"/>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000000"/>
          <w:kern w:val="44"/>
          <w:szCs w:val="21"/>
        </w:rPr>
      </w:pPr>
      <w:r>
        <w:rPr>
          <w:rFonts w:hint="eastAsia" w:ascii="Times New Roman" w:hAnsi="Times New Roman" w:eastAsia="宋体" w:cs="Times New Roman"/>
          <w:kern w:val="0"/>
          <w:szCs w:val="21"/>
          <w:lang w:val="en-US" w:eastAsia="zh-CN"/>
        </w:rPr>
        <w:t>6.3.7</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US" w:eastAsia="zh-CN"/>
        </w:rPr>
        <w:t xml:space="preserve"> </w:t>
      </w:r>
      <w:r>
        <w:rPr>
          <w:rFonts w:hint="eastAsia" w:ascii="Times New Roman" w:hAnsi="Times New Roman" w:eastAsia="宋体" w:cs="Times New Roman"/>
          <w:kern w:val="0"/>
          <w:szCs w:val="21"/>
          <w:lang w:eastAsia="zh-CN"/>
        </w:rPr>
        <w:t>认证审核人员</w:t>
      </w:r>
      <w:r>
        <w:rPr>
          <w:rFonts w:ascii="Times New Roman" w:hAnsi="Times New Roman" w:eastAsia="宋体" w:cs="Times New Roman"/>
          <w:kern w:val="0"/>
          <w:szCs w:val="21"/>
        </w:rPr>
        <w:t>对申请人进行综合评价，以决定直接推荐认证评定或 需进一步面试评价。</w:t>
      </w:r>
      <w:r>
        <w:rPr>
          <w:rFonts w:ascii="Songti SC Light" w:hAnsi="Songti SC Light" w:eastAsia="Songti SC Light"/>
          <w:color w:val="000000" w:themeColor="text1"/>
          <w:szCs w:val="21"/>
          <w14:textFill>
            <w14:solidFill>
              <w14:schemeClr w14:val="tx1"/>
            </w14:solidFill>
          </w14:textFill>
        </w:rPr>
        <w:br w:type="textWrapping"/>
      </w:r>
      <w:r>
        <w:rPr>
          <w:rFonts w:hint="eastAsia" w:ascii="黑体" w:hAnsi="黑体" w:eastAsia="黑体" w:cs="黑体"/>
          <w:b w:val="0"/>
          <w:bCs w:val="0"/>
          <w:color w:val="000000"/>
          <w:kern w:val="44"/>
          <w:szCs w:val="21"/>
        </w:rPr>
        <w:t>6.4 面试评价(需要时)</w:t>
      </w:r>
    </w:p>
    <w:p>
      <w:pPr>
        <w:spacing w:line="360" w:lineRule="auto"/>
        <w:ind w:left="0" w:leftChars="0" w:firstLine="0" w:firstLineChars="0"/>
        <w:outlineLvl w:val="9"/>
        <w:rPr>
          <w:rFonts w:ascii="Songti SC Light" w:hAnsi="Songti SC Light" w:eastAsia="Songti SC Light"/>
          <w:color w:val="000000" w:themeColor="text1"/>
          <w:szCs w:val="21"/>
          <w14:textFill>
            <w14:solidFill>
              <w14:schemeClr w14:val="tx1"/>
            </w14:solidFill>
          </w14:textFill>
        </w:rPr>
      </w:pPr>
      <w:r>
        <w:rPr>
          <w:rFonts w:ascii="Times New Roman" w:hAnsi="Times New Roman" w:eastAsia="宋体" w:cs="Times New Roman"/>
          <w:kern w:val="0"/>
          <w:szCs w:val="21"/>
        </w:rPr>
        <w:t>6.4.1 面试评价人员依据</w:t>
      </w:r>
      <w:r>
        <w:rPr>
          <w:rFonts w:hint="eastAsia" w:ascii="Times New Roman" w:hAnsi="Times New Roman" w:eastAsia="宋体" w:cs="Times New Roman"/>
          <w:kern w:val="0"/>
          <w:szCs w:val="21"/>
          <w:lang w:eastAsia="zh-CN"/>
        </w:rPr>
        <w:t>认证审核人员</w:t>
      </w:r>
      <w:r>
        <w:rPr>
          <w:rFonts w:ascii="Times New Roman" w:hAnsi="Times New Roman" w:eastAsia="宋体" w:cs="Times New Roman"/>
          <w:kern w:val="0"/>
          <w:szCs w:val="21"/>
        </w:rPr>
        <w:t>的建议对申请人</w:t>
      </w:r>
      <w:r>
        <w:rPr>
          <w:rFonts w:hint="eastAsia" w:ascii="Times New Roman" w:hAnsi="Times New Roman" w:eastAsia="宋体" w:cs="Times New Roman"/>
          <w:kern w:val="0"/>
          <w:szCs w:val="21"/>
          <w:lang w:eastAsia="zh-CN"/>
        </w:rPr>
        <w:t>综合</w:t>
      </w:r>
      <w:r>
        <w:rPr>
          <w:rFonts w:ascii="Times New Roman" w:hAnsi="Times New Roman" w:eastAsia="宋体" w:cs="Times New Roman"/>
          <w:kern w:val="0"/>
          <w:szCs w:val="21"/>
        </w:rPr>
        <w:t>素质、所申请的专业方向和级别要求的知识和能力通过面谈的方式进行考核或核实，并给出其在所申请的专业方向和对应级别的知识水平和应用能力的评价结论。</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6.4.2 面试评价人员对申请人进行综合评价，以决定是否推荐认证</w:t>
      </w:r>
      <w:r>
        <w:rPr>
          <w:rFonts w:hint="eastAsia" w:ascii="Times New Roman" w:hAnsi="Times New Roman" w:eastAsia="宋体" w:cs="Times New Roman"/>
          <w:kern w:val="0"/>
          <w:szCs w:val="21"/>
        </w:rPr>
        <w:t>批准</w:t>
      </w:r>
      <w:r>
        <w:rPr>
          <w:rFonts w:ascii="Times New Roman" w:hAnsi="Times New Roman" w:eastAsia="宋体" w:cs="Times New Roman"/>
          <w:kern w:val="0"/>
          <w:szCs w:val="21"/>
        </w:rPr>
        <w:t>。</w:t>
      </w:r>
      <w:r>
        <w:rPr>
          <w:rFonts w:ascii="Songti SC Light" w:hAnsi="Songti SC Light" w:eastAsia="Songti SC Light"/>
          <w:color w:val="000000" w:themeColor="text1"/>
          <w:szCs w:val="21"/>
          <w14:textFill>
            <w14:solidFill>
              <w14:schemeClr w14:val="tx1"/>
            </w14:solidFill>
          </w14:textFill>
        </w:rPr>
        <w:t xml:space="preserve"> </w:t>
      </w:r>
    </w:p>
    <w:p>
      <w:pPr>
        <w:pStyle w:val="18"/>
        <w:spacing w:before="0" w:beforeAutospacing="0" w:after="0" w:afterAutospacing="0" w:line="360" w:lineRule="auto"/>
        <w:outlineLvl w:val="1"/>
        <w:rPr>
          <w:rFonts w:hint="eastAsia" w:ascii="黑体" w:hAnsi="黑体" w:eastAsia="黑体" w:cs="黑体"/>
          <w:b w:val="0"/>
          <w:bCs w:val="0"/>
          <w:color w:val="000000"/>
          <w:kern w:val="44"/>
          <w:sz w:val="21"/>
          <w:szCs w:val="21"/>
        </w:rPr>
      </w:pPr>
      <w:bookmarkStart w:id="39" w:name="_Toc20235"/>
      <w:r>
        <w:rPr>
          <w:rFonts w:hint="eastAsia" w:ascii="黑体" w:hAnsi="黑体" w:eastAsia="黑体" w:cs="黑体"/>
          <w:b w:val="0"/>
          <w:bCs w:val="0"/>
          <w:color w:val="000000"/>
          <w:kern w:val="44"/>
          <w:sz w:val="21"/>
          <w:szCs w:val="21"/>
        </w:rPr>
        <w:t>6.5 认证批准</w:t>
      </w:r>
      <w:bookmarkEnd w:id="39"/>
    </w:p>
    <w:p>
      <w:pPr>
        <w:pStyle w:val="18"/>
        <w:spacing w:before="0" w:beforeAutospacing="0" w:after="0" w:afterAutospacing="0" w:line="360" w:lineRule="auto"/>
        <w:outlineLvl w:val="9"/>
        <w:rPr>
          <w:rFonts w:ascii="Times New Roman" w:hAnsi="Times New Roman" w:cs="Times New Roman"/>
          <w:sz w:val="21"/>
          <w:szCs w:val="21"/>
        </w:rPr>
      </w:pPr>
      <w:r>
        <w:rPr>
          <w:rFonts w:ascii="Times New Roman" w:hAnsi="Times New Roman" w:cs="Times New Roman"/>
          <w:sz w:val="21"/>
          <w:szCs w:val="21"/>
        </w:rPr>
        <w:t>6.5.1第三方认证机构</w:t>
      </w:r>
      <w:r>
        <w:rPr>
          <w:rFonts w:hint="eastAsia" w:ascii="Times New Roman" w:hAnsi="Times New Roman" w:cs="Times New Roman"/>
          <w:sz w:val="21"/>
          <w:szCs w:val="21"/>
          <w:lang w:eastAsia="zh-CN"/>
        </w:rPr>
        <w:t>认证决定</w:t>
      </w:r>
      <w:r>
        <w:rPr>
          <w:rFonts w:ascii="Times New Roman" w:hAnsi="Times New Roman" w:cs="Times New Roman"/>
          <w:sz w:val="21"/>
          <w:szCs w:val="21"/>
        </w:rPr>
        <w:t>人员负责审核认证</w:t>
      </w:r>
      <w:r>
        <w:rPr>
          <w:rFonts w:hint="eastAsia" w:ascii="Times New Roman" w:hAnsi="Times New Roman" w:cs="Times New Roman"/>
          <w:sz w:val="21"/>
          <w:szCs w:val="21"/>
        </w:rPr>
        <w:t>书面评价和面试评价（需要时）的</w:t>
      </w:r>
      <w:r>
        <w:rPr>
          <w:rFonts w:ascii="Times New Roman" w:hAnsi="Times New Roman" w:cs="Times New Roman"/>
          <w:sz w:val="21"/>
          <w:szCs w:val="21"/>
        </w:rPr>
        <w:t>意见，并最终决定是否批准认证。</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p>
    <w:p>
      <w:pPr>
        <w:pStyle w:val="18"/>
        <w:spacing w:before="0" w:beforeAutospacing="0" w:after="0" w:afterAutospacing="0" w:line="360" w:lineRule="auto"/>
        <w:outlineLvl w:val="9"/>
        <w:rPr>
          <w:rFonts w:ascii="Times New Roman" w:hAnsi="Times New Roman" w:cs="Times New Roman"/>
          <w:sz w:val="21"/>
          <w:szCs w:val="21"/>
        </w:rPr>
      </w:pPr>
      <w:r>
        <w:rPr>
          <w:rFonts w:ascii="Times New Roman" w:hAnsi="Times New Roman" w:cs="Times New Roman"/>
          <w:sz w:val="21"/>
          <w:szCs w:val="21"/>
        </w:rPr>
        <w:t xml:space="preserve">6.5.2 </w:t>
      </w:r>
      <w:r>
        <w:rPr>
          <w:rFonts w:hint="eastAsia" w:ascii="Times New Roman" w:hAnsi="Times New Roman" w:cs="Times New Roman"/>
          <w:sz w:val="21"/>
          <w:szCs w:val="21"/>
          <w:lang w:eastAsia="zh-CN"/>
        </w:rPr>
        <w:t>认证决定</w:t>
      </w:r>
      <w:r>
        <w:rPr>
          <w:rFonts w:ascii="Times New Roman" w:hAnsi="Times New Roman" w:cs="Times New Roman"/>
          <w:sz w:val="21"/>
          <w:szCs w:val="21"/>
        </w:rPr>
        <w:t>人员</w:t>
      </w:r>
      <w:r>
        <w:rPr>
          <w:rFonts w:hint="eastAsia" w:ascii="Times New Roman" w:hAnsi="Times New Roman" w:cs="Times New Roman"/>
          <w:sz w:val="21"/>
          <w:szCs w:val="21"/>
        </w:rPr>
        <w:t>和</w:t>
      </w:r>
      <w:r>
        <w:rPr>
          <w:rFonts w:hint="eastAsia" w:ascii="Times New Roman" w:hAnsi="Times New Roman" w:cs="Times New Roman"/>
          <w:sz w:val="21"/>
          <w:szCs w:val="21"/>
          <w:lang w:eastAsia="zh-CN"/>
        </w:rPr>
        <w:t>审核</w:t>
      </w:r>
      <w:r>
        <w:rPr>
          <w:rFonts w:hint="eastAsia" w:ascii="Times New Roman" w:hAnsi="Times New Roman" w:cs="Times New Roman"/>
          <w:sz w:val="21"/>
          <w:szCs w:val="21"/>
        </w:rPr>
        <w:t>人员不应为同一人员。</w:t>
      </w:r>
    </w:p>
    <w:p>
      <w:pPr>
        <w:pStyle w:val="18"/>
        <w:spacing w:before="0" w:beforeAutospacing="0" w:after="0" w:afterAutospacing="0" w:line="360" w:lineRule="auto"/>
        <w:rPr>
          <w:rFonts w:ascii="Times New Roman" w:hAnsi="Times New Roman" w:cs="Times New Roman"/>
          <w:sz w:val="21"/>
          <w:szCs w:val="21"/>
        </w:rPr>
      </w:pPr>
      <w:r>
        <w:rPr>
          <w:rFonts w:ascii="Times New Roman" w:hAnsi="Times New Roman" w:cs="Times New Roman"/>
          <w:sz w:val="21"/>
          <w:szCs w:val="21"/>
        </w:rPr>
        <w:t xml:space="preserve">6.5.3 最终决定结果是以下三种类型之一: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r>
        <w:rPr>
          <w:rFonts w:hint="eastAsia" w:ascii="Times New Roman" w:hAnsi="Times New Roman" w:cs="Times New Roman"/>
          <w:sz w:val="21"/>
          <w:szCs w:val="21"/>
        </w:rPr>
        <w:t xml:space="preserve">　　 </w:t>
      </w:r>
      <w:r>
        <w:rPr>
          <w:rFonts w:ascii="Times New Roman" w:hAnsi="Times New Roman" w:cs="Times New Roman"/>
          <w:sz w:val="21"/>
          <w:szCs w:val="21"/>
        </w:rPr>
        <w:t xml:space="preserve"> </w:t>
      </w:r>
    </w:p>
    <w:p>
      <w:pPr>
        <w:pStyle w:val="18"/>
        <w:spacing w:before="0" w:beforeAutospacing="0" w:after="0" w:afterAutospacing="0" w:line="360" w:lineRule="auto"/>
        <w:ind w:left="525" w:leftChars="250"/>
        <w:rPr>
          <w:rFonts w:ascii="Times New Roman" w:hAnsi="Times New Roman" w:cs="Times New Roman"/>
          <w:sz w:val="21"/>
          <w:szCs w:val="21"/>
        </w:rPr>
      </w:pPr>
      <w:r>
        <w:rPr>
          <w:rFonts w:ascii="Times New Roman" w:hAnsi="Times New Roman" w:cs="Times New Roman"/>
          <w:sz w:val="21"/>
          <w:szCs w:val="21"/>
        </w:rPr>
        <w:t>a) 通过认证;</w:t>
      </w:r>
      <w:r>
        <w:rPr>
          <w:rFonts w:ascii="Times New Roman" w:hAnsi="Times New Roman" w:cs="Times New Roman"/>
          <w:sz w:val="21"/>
          <w:szCs w:val="21"/>
        </w:rPr>
        <w:br w:type="textWrapping"/>
      </w:r>
      <w:r>
        <w:rPr>
          <w:rFonts w:ascii="Times New Roman" w:hAnsi="Times New Roman" w:cs="Times New Roman"/>
          <w:sz w:val="21"/>
          <w:szCs w:val="21"/>
        </w:rPr>
        <w:t>b) 不予通过认证;</w:t>
      </w:r>
      <w:r>
        <w:rPr>
          <w:rFonts w:ascii="Times New Roman" w:hAnsi="Times New Roman" w:cs="Times New Roman"/>
          <w:sz w:val="21"/>
          <w:szCs w:val="21"/>
        </w:rPr>
        <w:br w:type="textWrapping"/>
      </w:r>
      <w:r>
        <w:rPr>
          <w:rFonts w:ascii="Times New Roman" w:hAnsi="Times New Roman" w:cs="Times New Roman"/>
          <w:sz w:val="21"/>
          <w:szCs w:val="21"/>
        </w:rPr>
        <w:t xml:space="preserve">c) 补充证据或信息，再行认证评定。 </w:t>
      </w:r>
    </w:p>
    <w:p>
      <w:pPr>
        <w:pStyle w:val="18"/>
        <w:spacing w:before="0" w:beforeAutospacing="0" w:after="0" w:afterAutospacing="0" w:line="360" w:lineRule="auto"/>
        <w:outlineLvl w:val="1"/>
        <w:rPr>
          <w:rFonts w:hint="eastAsia" w:ascii="黑体" w:hAnsi="黑体" w:eastAsia="黑体" w:cs="黑体"/>
          <w:b w:val="0"/>
          <w:bCs w:val="0"/>
          <w:color w:val="000000"/>
          <w:kern w:val="44"/>
          <w:sz w:val="21"/>
          <w:szCs w:val="21"/>
        </w:rPr>
      </w:pPr>
      <w:bookmarkStart w:id="40" w:name="_Toc16361"/>
      <w:r>
        <w:rPr>
          <w:rFonts w:hint="eastAsia" w:ascii="黑体" w:hAnsi="黑体" w:eastAsia="黑体" w:cs="黑体"/>
          <w:b w:val="0"/>
          <w:bCs w:val="0"/>
          <w:color w:val="000000"/>
          <w:kern w:val="44"/>
          <w:sz w:val="21"/>
          <w:szCs w:val="21"/>
        </w:rPr>
        <w:t>6.6 颁发证书与公告</w:t>
      </w:r>
      <w:bookmarkEnd w:id="40"/>
      <w:r>
        <w:rPr>
          <w:rFonts w:hint="eastAsia" w:ascii="黑体" w:hAnsi="黑体" w:eastAsia="黑体" w:cs="黑体"/>
          <w:b w:val="0"/>
          <w:bCs w:val="0"/>
          <w:color w:val="000000"/>
          <w:kern w:val="44"/>
          <w:sz w:val="21"/>
          <w:szCs w:val="21"/>
        </w:rPr>
        <w:t xml:space="preserve"> </w:t>
      </w:r>
    </w:p>
    <w:p>
      <w:pPr>
        <w:pStyle w:val="18"/>
        <w:tabs>
          <w:tab w:val="left" w:pos="3969"/>
        </w:tabs>
        <w:spacing w:before="0" w:beforeAutospacing="0" w:after="0" w:afterAutospacing="0" w:line="360" w:lineRule="auto"/>
        <w:ind w:firstLine="420"/>
        <w:rPr>
          <w:rFonts w:ascii="Songti SC Light" w:hAnsi="Songti SC Light" w:eastAsia="Songti SC Light" w:cs="Times New Roman"/>
          <w:color w:val="000000" w:themeColor="text1"/>
          <w:sz w:val="21"/>
          <w:szCs w:val="21"/>
          <w14:textFill>
            <w14:solidFill>
              <w14:schemeClr w14:val="tx1"/>
            </w14:solidFill>
          </w14:textFill>
        </w:rPr>
      </w:pPr>
      <w:r>
        <w:rPr>
          <w:rFonts w:hint="eastAsia" w:ascii="Times New Roman" w:hAnsi="Times New Roman" w:cs="Times New Roman"/>
          <w:sz w:val="21"/>
          <w:szCs w:val="21"/>
        </w:rPr>
        <w:t>第三方认证机构应发布公告，公告通过认证的人员名单，并发放认证证书，认证证书有效期3年。</w:t>
      </w:r>
      <w:r>
        <w:rPr>
          <w:rFonts w:hint="eastAsia" w:ascii="Songti SC Light" w:hAnsi="Songti SC Light" w:eastAsia="Songti SC Light" w:cs="Times New Roman"/>
          <w:color w:val="000000" w:themeColor="text1"/>
          <w:sz w:val="21"/>
          <w:szCs w:val="21"/>
          <w14:textFill>
            <w14:solidFill>
              <w14:schemeClr w14:val="tx1"/>
            </w14:solidFill>
          </w14:textFill>
        </w:rPr>
        <w:t xml:space="preserve"> </w:t>
      </w:r>
    </w:p>
    <w:p>
      <w:pPr>
        <w:pStyle w:val="18"/>
        <w:spacing w:before="0" w:beforeAutospacing="0" w:after="0" w:afterAutospacing="0" w:line="360" w:lineRule="auto"/>
        <w:outlineLvl w:val="1"/>
        <w:rPr>
          <w:rFonts w:hint="eastAsia" w:ascii="黑体" w:hAnsi="黑体" w:eastAsia="黑体" w:cs="黑体"/>
          <w:b w:val="0"/>
          <w:bCs w:val="0"/>
          <w:color w:val="000000"/>
          <w:kern w:val="44"/>
          <w:sz w:val="21"/>
          <w:szCs w:val="21"/>
        </w:rPr>
      </w:pPr>
      <w:bookmarkStart w:id="41" w:name="_Toc11297"/>
      <w:r>
        <w:rPr>
          <w:rFonts w:hint="eastAsia" w:ascii="黑体" w:hAnsi="黑体" w:eastAsia="黑体" w:cs="黑体"/>
          <w:b w:val="0"/>
          <w:bCs w:val="0"/>
          <w:color w:val="000000"/>
          <w:kern w:val="44"/>
          <w:sz w:val="21"/>
          <w:szCs w:val="21"/>
        </w:rPr>
        <w:t>6.7 年度确认</w:t>
      </w:r>
      <w:bookmarkEnd w:id="41"/>
    </w:p>
    <w:p>
      <w:pPr>
        <w:pStyle w:val="18"/>
        <w:spacing w:before="0" w:beforeAutospacing="0" w:after="0" w:afterAutospacing="0" w:line="360" w:lineRule="auto"/>
        <w:ind w:firstLine="420"/>
        <w:rPr>
          <w:rFonts w:ascii="Times New Roman" w:hAnsi="Times New Roman" w:cs="Times New Roman"/>
          <w:sz w:val="21"/>
          <w:szCs w:val="21"/>
        </w:rPr>
      </w:pPr>
      <w:r>
        <w:rPr>
          <w:rFonts w:hint="eastAsia" w:ascii="Times New Roman" w:hAnsi="Times New Roman" w:cs="Times New Roman"/>
          <w:sz w:val="21"/>
          <w:szCs w:val="21"/>
        </w:rPr>
        <w:t>获证人员在证书有效期内每年完成相应的再继续培训1</w:t>
      </w:r>
      <w:r>
        <w:rPr>
          <w:rFonts w:ascii="Times New Roman" w:hAnsi="Times New Roman" w:cs="Times New Roman"/>
          <w:sz w:val="21"/>
          <w:szCs w:val="21"/>
        </w:rPr>
        <w:t>6</w:t>
      </w:r>
      <w:r>
        <w:rPr>
          <w:rFonts w:hint="eastAsia" w:ascii="Times New Roman" w:hAnsi="Times New Roman" w:cs="Times New Roman"/>
          <w:sz w:val="21"/>
          <w:szCs w:val="21"/>
        </w:rPr>
        <w:t>个学时以上来维持认证资质的持续有效。</w:t>
      </w:r>
    </w:p>
    <w:p>
      <w:pPr>
        <w:pStyle w:val="18"/>
        <w:spacing w:before="0" w:beforeAutospacing="0" w:after="0" w:afterAutospacing="0" w:line="360" w:lineRule="auto"/>
        <w:outlineLvl w:val="1"/>
        <w:rPr>
          <w:rFonts w:hint="eastAsia" w:ascii="黑体" w:hAnsi="黑体" w:eastAsia="黑体" w:cs="黑体"/>
          <w:b w:val="0"/>
          <w:bCs w:val="0"/>
          <w:color w:val="000000"/>
          <w:kern w:val="44"/>
          <w:sz w:val="21"/>
          <w:szCs w:val="21"/>
        </w:rPr>
      </w:pPr>
      <w:bookmarkStart w:id="42" w:name="_Toc1389"/>
      <w:r>
        <w:rPr>
          <w:rFonts w:hint="eastAsia" w:ascii="黑体" w:hAnsi="黑体" w:eastAsia="黑体" w:cs="黑体"/>
          <w:b w:val="0"/>
          <w:bCs w:val="0"/>
          <w:color w:val="000000"/>
          <w:kern w:val="44"/>
          <w:sz w:val="21"/>
          <w:szCs w:val="21"/>
        </w:rPr>
        <w:t>6.8 再注册</w:t>
      </w:r>
      <w:bookmarkEnd w:id="42"/>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ascii="Times New Roman" w:hAnsi="Times New Roman" w:cs="Times New Roman"/>
          <w:sz w:val="21"/>
          <w:szCs w:val="21"/>
        </w:rPr>
      </w:pPr>
      <w:r>
        <w:rPr>
          <w:rFonts w:hint="eastAsia" w:ascii="Times New Roman" w:hAnsi="Times New Roman" w:cs="Times New Roman"/>
          <w:sz w:val="21"/>
          <w:szCs w:val="21"/>
        </w:rPr>
        <w:t>获证人员在证书过期前9</w:t>
      </w:r>
      <w:r>
        <w:rPr>
          <w:rFonts w:ascii="Times New Roman" w:hAnsi="Times New Roman" w:cs="Times New Roman"/>
          <w:sz w:val="21"/>
          <w:szCs w:val="21"/>
        </w:rPr>
        <w:t>0</w:t>
      </w:r>
      <w:r>
        <w:rPr>
          <w:rFonts w:hint="eastAsia" w:ascii="Times New Roman" w:hAnsi="Times New Roman" w:cs="Times New Roman"/>
          <w:sz w:val="21"/>
          <w:szCs w:val="21"/>
        </w:rPr>
        <w:t>天内应向第三方认证机构提交资料申请再注册</w:t>
      </w:r>
      <w:r>
        <w:rPr>
          <w:rFonts w:hint="eastAsia" w:ascii="Times New Roman" w:hAnsi="Times New Roman" w:cs="Times New Roman"/>
          <w:sz w:val="21"/>
          <w:szCs w:val="21"/>
          <w:lang w:eastAsia="zh-CN"/>
        </w:rPr>
        <w:t>申请</w:t>
      </w:r>
      <w:r>
        <w:rPr>
          <w:rFonts w:hint="eastAsia" w:ascii="Times New Roman" w:hAnsi="Times New Roman" w:cs="Times New Roman"/>
          <w:sz w:val="21"/>
          <w:szCs w:val="21"/>
        </w:rPr>
        <w:t>，再注册评价需提交近三年的网络空间安全相关工作经历，应至少包括2年以上认证方向相关的经历或2个认证方向的完成项目。</w:t>
      </w:r>
    </w:p>
    <w:p>
      <w:pPr>
        <w:pStyle w:val="18"/>
        <w:spacing w:before="0" w:beforeAutospacing="0" w:after="0" w:afterAutospacing="0" w:line="360" w:lineRule="auto"/>
        <w:outlineLvl w:val="1"/>
        <w:rPr>
          <w:rFonts w:hint="eastAsia" w:ascii="黑体" w:hAnsi="黑体" w:eastAsia="黑体" w:cs="黑体"/>
          <w:b w:val="0"/>
          <w:bCs w:val="0"/>
          <w:color w:val="000000"/>
          <w:kern w:val="44"/>
          <w:sz w:val="21"/>
          <w:szCs w:val="21"/>
        </w:rPr>
      </w:pPr>
      <w:bookmarkStart w:id="43" w:name="_Toc20573"/>
      <w:r>
        <w:rPr>
          <w:rFonts w:hint="eastAsia" w:ascii="黑体" w:hAnsi="黑体" w:eastAsia="黑体" w:cs="黑体"/>
          <w:b w:val="0"/>
          <w:bCs w:val="0"/>
          <w:color w:val="000000"/>
          <w:kern w:val="44"/>
          <w:sz w:val="21"/>
          <w:szCs w:val="21"/>
        </w:rPr>
        <w:t>6.9 变更</w:t>
      </w:r>
      <w:bookmarkEnd w:id="43"/>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20" w:firstLineChars="200"/>
        <w:textAlignment w:val="auto"/>
        <w:rPr>
          <w:rFonts w:hint="eastAsia" w:ascii="Times New Roman" w:hAnsi="Times New Roman" w:cs="Times New Roman"/>
          <w:sz w:val="21"/>
          <w:szCs w:val="21"/>
        </w:rPr>
      </w:pPr>
      <w:r>
        <w:rPr>
          <w:rFonts w:hint="eastAsia" w:ascii="Times New Roman" w:hAnsi="Times New Roman" w:cs="Times New Roman"/>
          <w:sz w:val="21"/>
          <w:szCs w:val="21"/>
        </w:rPr>
        <w:t>获证人员在证书有效期内提出级别、方向、类别方向的变更，如升级、降级、变更到其他方向、类别，或增加其他方向、类别的证书，均可提交变更申请，以及提供标准中要求的符合性证明材料以供评价。</w:t>
      </w:r>
    </w:p>
    <w:p>
      <w:pPr>
        <w:pStyle w:val="1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hanging="420" w:hangingChars="200"/>
        <w:textAlignment w:val="auto"/>
        <w:outlineLvl w:val="1"/>
        <w:rPr>
          <w:rFonts w:hint="eastAsia" w:ascii="黑体" w:hAnsi="黑体" w:eastAsia="黑体" w:cs="黑体"/>
          <w:b w:val="0"/>
          <w:bCs w:val="0"/>
          <w:color w:val="auto"/>
          <w:sz w:val="21"/>
          <w:szCs w:val="21"/>
        </w:rPr>
      </w:pPr>
      <w:bookmarkStart w:id="44" w:name="_Toc6406"/>
      <w:r>
        <w:rPr>
          <w:rFonts w:hint="eastAsia" w:ascii="黑体" w:hAnsi="黑体" w:eastAsia="黑体" w:cs="黑体"/>
          <w:b w:val="0"/>
          <w:bCs w:val="0"/>
          <w:color w:val="auto"/>
          <w:kern w:val="44"/>
          <w:sz w:val="21"/>
          <w:szCs w:val="21"/>
        </w:rPr>
        <w:t>6.10暂停、恢复、撤销和注销认证</w:t>
      </w:r>
      <w:bookmarkEnd w:id="44"/>
    </w:p>
    <w:p>
      <w:pPr>
        <w:pStyle w:val="18"/>
        <w:spacing w:before="0" w:beforeAutospacing="0" w:after="0" w:afterAutospacing="0" w:line="360" w:lineRule="auto"/>
        <w:ind w:left="0" w:leftChars="0" w:firstLine="0" w:firstLineChars="0"/>
        <w:outlineLvl w:val="2"/>
        <w:rPr>
          <w:rFonts w:ascii="Times New Roman" w:hAnsi="Times New Roman" w:cs="Times New Roman"/>
          <w:sz w:val="21"/>
          <w:szCs w:val="21"/>
        </w:rPr>
      </w:pPr>
      <w:bookmarkStart w:id="45" w:name="_Toc24516"/>
      <w:bookmarkStart w:id="46" w:name="_Toc30931"/>
      <w:r>
        <w:rPr>
          <w:rFonts w:hint="eastAsia" w:ascii="黑体" w:hAnsi="黑体" w:eastAsia="黑体" w:cs="黑体"/>
          <w:b w:val="0"/>
          <w:bCs w:val="0"/>
          <w:color w:val="000000"/>
          <w:kern w:val="44"/>
          <w:sz w:val="21"/>
          <w:szCs w:val="21"/>
        </w:rPr>
        <w:t>6.10.1 暂停认证</w:t>
      </w:r>
      <w:r>
        <w:rPr>
          <w:rFonts w:hint="eastAsia" w:ascii="黑体" w:hAnsi="黑体" w:eastAsia="黑体" w:cs="黑体"/>
          <w:b w:val="0"/>
          <w:bCs w:val="0"/>
          <w:color w:val="000000" w:themeColor="text1"/>
          <w:sz w:val="21"/>
          <w:szCs w:val="21"/>
          <w14:textFill>
            <w14:solidFill>
              <w14:schemeClr w14:val="tx1"/>
            </w14:solidFill>
          </w14:textFill>
        </w:rPr>
        <w:br w:type="textWrapping"/>
      </w:r>
      <w:r>
        <w:rPr>
          <w:rFonts w:ascii="Times New Roman" w:hAnsi="Times New Roman" w:cs="Times New Roman"/>
          <w:sz w:val="21"/>
          <w:szCs w:val="21"/>
        </w:rPr>
        <w:t>6.10.1.1 获证人员如不能持续地符合认证条件和要求，包括不提交专业持续发展课程</w:t>
      </w:r>
      <w:bookmarkEnd w:id="45"/>
      <w:r>
        <w:rPr>
          <w:rFonts w:ascii="Times New Roman" w:hAnsi="Times New Roman" w:cs="Times New Roman"/>
          <w:sz w:val="21"/>
          <w:szCs w:val="21"/>
        </w:rPr>
        <w:t>学习的证明、不提供相关认证专业方向的工作经历证明和不按时缴纳费用，</w:t>
      </w:r>
      <w:r>
        <w:rPr>
          <w:rFonts w:hint="eastAsia" w:ascii="Times New Roman" w:hAnsi="Times New Roman" w:cs="Times New Roman"/>
          <w:sz w:val="21"/>
          <w:szCs w:val="21"/>
        </w:rPr>
        <w:t>第三方认证机构</w:t>
      </w:r>
      <w:r>
        <w:rPr>
          <w:rFonts w:ascii="Times New Roman" w:hAnsi="Times New Roman" w:cs="Times New Roman"/>
          <w:sz w:val="21"/>
          <w:szCs w:val="21"/>
        </w:rPr>
        <w:t>可以暂停部分或全部认证资格。</w:t>
      </w:r>
      <w:r>
        <w:rPr>
          <w:rFonts w:ascii="Times New Roman" w:hAnsi="Times New Roman" w:cs="Times New Roman"/>
          <w:sz w:val="21"/>
          <w:szCs w:val="21"/>
        </w:rPr>
        <w:br w:type="textWrapping"/>
      </w:r>
      <w:r>
        <w:rPr>
          <w:rFonts w:ascii="Times New Roman" w:hAnsi="Times New Roman" w:cs="Times New Roman"/>
          <w:sz w:val="21"/>
          <w:szCs w:val="21"/>
        </w:rPr>
        <w:t>6.10.1.2 暂停期不小于 60 天，但不大于 180 天，获证人员在暂停期间不再享有相应权利，不得使用被暂停的证书，也不得以任何明示或隐含的方式向外界表示被暂停认证的范围仍然有效。</w:t>
      </w:r>
      <w:bookmarkEnd w:id="46"/>
    </w:p>
    <w:p>
      <w:pPr>
        <w:pStyle w:val="18"/>
        <w:spacing w:before="0" w:beforeAutospacing="0" w:after="0" w:afterAutospacing="0" w:line="360" w:lineRule="auto"/>
        <w:outlineLvl w:val="2"/>
        <w:rPr>
          <w:rFonts w:hint="eastAsia" w:ascii="黑体" w:hAnsi="黑体" w:eastAsia="黑体" w:cs="黑体"/>
          <w:b w:val="0"/>
          <w:bCs w:val="0"/>
          <w:color w:val="000000"/>
          <w:kern w:val="44"/>
          <w:sz w:val="21"/>
          <w:szCs w:val="21"/>
        </w:rPr>
      </w:pPr>
      <w:bookmarkStart w:id="47" w:name="_Toc18818"/>
      <w:r>
        <w:rPr>
          <w:rFonts w:hint="eastAsia" w:ascii="黑体" w:hAnsi="黑体" w:eastAsia="黑体" w:cs="黑体"/>
          <w:b w:val="0"/>
          <w:bCs w:val="0"/>
          <w:color w:val="000000"/>
          <w:kern w:val="44"/>
          <w:sz w:val="21"/>
          <w:szCs w:val="21"/>
        </w:rPr>
        <w:t>6.10.2 恢复认证</w:t>
      </w:r>
      <w:bookmarkEnd w:id="47"/>
      <w:r>
        <w:rPr>
          <w:rFonts w:hint="eastAsia" w:ascii="黑体" w:hAnsi="黑体" w:eastAsia="黑体" w:cs="黑体"/>
          <w:b w:val="0"/>
          <w:bCs w:val="0"/>
          <w:color w:val="000000"/>
          <w:kern w:val="44"/>
          <w:sz w:val="21"/>
          <w:szCs w:val="21"/>
        </w:rPr>
        <w:t xml:space="preserve"> </w:t>
      </w:r>
    </w:p>
    <w:p>
      <w:pPr>
        <w:spacing w:line="360" w:lineRule="auto"/>
        <w:ind w:firstLine="420" w:firstLineChars="200"/>
        <w:rPr>
          <w:rFonts w:ascii="Songti SC Light" w:hAnsi="Songti SC Light" w:eastAsia="Songti SC Light"/>
          <w:color w:val="000000" w:themeColor="text1"/>
          <w:szCs w:val="21"/>
          <w14:textFill>
            <w14:solidFill>
              <w14:schemeClr w14:val="tx1"/>
            </w14:solidFill>
          </w14:textFill>
        </w:rPr>
      </w:pPr>
      <w:r>
        <w:rPr>
          <w:rFonts w:ascii="Songti SC Light" w:hAnsi="Songti SC Light" w:eastAsia="Songti SC Light"/>
          <w:color w:val="000000" w:themeColor="text1"/>
          <w:szCs w:val="21"/>
          <w14:textFill>
            <w14:solidFill>
              <w14:schemeClr w14:val="tx1"/>
            </w14:solidFill>
          </w14:textFill>
        </w:rPr>
        <w:t>被</w:t>
      </w:r>
      <w:r>
        <w:rPr>
          <w:rFonts w:ascii="Times New Roman" w:hAnsi="Times New Roman" w:eastAsia="宋体" w:cs="Times New Roman"/>
          <w:kern w:val="0"/>
          <w:szCs w:val="21"/>
        </w:rPr>
        <w:t>暂停认证的，在规定的暂停期限内达到认证要求后，申请并经确认符合，可以恢复认证资格。</w:t>
      </w:r>
    </w:p>
    <w:p>
      <w:pPr>
        <w:pStyle w:val="18"/>
        <w:spacing w:before="0" w:beforeAutospacing="0" w:after="0" w:afterAutospacing="0" w:line="360" w:lineRule="auto"/>
        <w:outlineLvl w:val="2"/>
        <w:rPr>
          <w:rFonts w:hint="eastAsia" w:ascii="黑体" w:hAnsi="黑体" w:eastAsia="黑体" w:cs="黑体"/>
          <w:b w:val="0"/>
          <w:bCs w:val="0"/>
          <w:color w:val="000000"/>
          <w:kern w:val="44"/>
          <w:sz w:val="21"/>
          <w:szCs w:val="21"/>
        </w:rPr>
      </w:pPr>
      <w:bookmarkStart w:id="48" w:name="_Toc28385"/>
      <w:r>
        <w:rPr>
          <w:rFonts w:hint="eastAsia" w:ascii="黑体" w:hAnsi="黑体" w:eastAsia="黑体" w:cs="黑体"/>
          <w:b w:val="0"/>
          <w:bCs w:val="0"/>
          <w:color w:val="000000"/>
          <w:kern w:val="44"/>
          <w:sz w:val="21"/>
          <w:szCs w:val="21"/>
        </w:rPr>
        <w:t>6.10.3 撤销认证</w:t>
      </w:r>
      <w:bookmarkEnd w:id="48"/>
    </w:p>
    <w:p>
      <w:pPr>
        <w:spacing w:line="360" w:lineRule="auto"/>
        <w:ind w:left="420" w:leftChars="200"/>
        <w:rPr>
          <w:rFonts w:ascii="Times New Roman" w:hAnsi="Times New Roman" w:eastAsia="宋体" w:cs="Times New Roman"/>
          <w:kern w:val="0"/>
          <w:szCs w:val="21"/>
        </w:rPr>
      </w:pPr>
      <w:r>
        <w:rPr>
          <w:rFonts w:ascii="Times New Roman" w:hAnsi="Times New Roman" w:eastAsia="宋体" w:cs="Times New Roman"/>
          <w:kern w:val="0"/>
          <w:szCs w:val="21"/>
        </w:rPr>
        <w:t>在下列情况下，</w:t>
      </w:r>
      <w:r>
        <w:rPr>
          <w:rFonts w:hint="eastAsia" w:ascii="Times New Roman" w:hAnsi="Times New Roman" w:eastAsia="宋体" w:cs="Times New Roman"/>
          <w:kern w:val="0"/>
          <w:szCs w:val="21"/>
        </w:rPr>
        <w:t>第三方认证机构</w:t>
      </w:r>
      <w:r>
        <w:rPr>
          <w:rFonts w:ascii="Times New Roman" w:hAnsi="Times New Roman" w:eastAsia="宋体" w:cs="Times New Roman"/>
          <w:kern w:val="0"/>
          <w:szCs w:val="21"/>
        </w:rPr>
        <w:t>应撤销认证:</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 xml:space="preserve">a) 被暂停认证的，超过暂停期仍不能恢复认证(部分暂停的则部分撤销);              </w:t>
      </w:r>
    </w:p>
    <w:p>
      <w:pPr>
        <w:spacing w:line="360" w:lineRule="auto"/>
        <w:ind w:left="420" w:leftChars="200"/>
        <w:rPr>
          <w:rFonts w:ascii="Songti SC Light" w:hAnsi="Songti SC Light" w:eastAsia="Songti SC Light"/>
          <w:color w:val="000000" w:themeColor="text1"/>
          <w:szCs w:val="21"/>
          <w14:textFill>
            <w14:solidFill>
              <w14:schemeClr w14:val="tx1"/>
            </w14:solidFill>
          </w14:textFill>
        </w:rPr>
      </w:pPr>
      <w:r>
        <w:rPr>
          <w:rFonts w:ascii="Times New Roman" w:hAnsi="Times New Roman" w:eastAsia="宋体" w:cs="Times New Roman"/>
          <w:kern w:val="0"/>
          <w:szCs w:val="21"/>
        </w:rPr>
        <w:t>b) 当认证规则、认证准则变更时，在规定时间内不能满足新要求的;</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c) 获证人员不能履行</w:t>
      </w:r>
      <w:r>
        <w:rPr>
          <w:rFonts w:hint="eastAsia" w:ascii="Times New Roman" w:hAnsi="Times New Roman" w:eastAsia="宋体" w:cs="Times New Roman"/>
          <w:kern w:val="0"/>
          <w:szCs w:val="21"/>
        </w:rPr>
        <w:t>第三方认证机构的</w:t>
      </w:r>
      <w:r>
        <w:rPr>
          <w:rFonts w:ascii="Times New Roman" w:hAnsi="Times New Roman" w:eastAsia="宋体" w:cs="Times New Roman"/>
          <w:kern w:val="0"/>
          <w:szCs w:val="21"/>
        </w:rPr>
        <w:t>相关认证规则中规定的义务;</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d) 获证人员被证实不再符合认证准则所规定的要求。</w:t>
      </w:r>
      <w:r>
        <w:rPr>
          <w:rFonts w:ascii="Songti SC Light" w:hAnsi="Songti SC Light" w:eastAsia="Songti SC Light"/>
          <w:color w:val="000000" w:themeColor="text1"/>
          <w:szCs w:val="21"/>
          <w14:textFill>
            <w14:solidFill>
              <w14:schemeClr w14:val="tx1"/>
            </w14:solidFill>
          </w14:textFill>
        </w:rPr>
        <w:t xml:space="preserve"> </w:t>
      </w:r>
    </w:p>
    <w:p>
      <w:pPr>
        <w:pStyle w:val="18"/>
        <w:spacing w:before="0" w:beforeAutospacing="0" w:after="0" w:afterAutospacing="0" w:line="360" w:lineRule="auto"/>
        <w:outlineLvl w:val="2"/>
        <w:rPr>
          <w:rFonts w:hint="eastAsia" w:ascii="黑体" w:hAnsi="黑体" w:eastAsia="黑体" w:cs="黑体"/>
          <w:b w:val="0"/>
          <w:bCs w:val="0"/>
          <w:color w:val="000000"/>
          <w:kern w:val="44"/>
          <w:sz w:val="21"/>
          <w:szCs w:val="21"/>
        </w:rPr>
      </w:pPr>
      <w:bookmarkStart w:id="49" w:name="_Toc16749"/>
      <w:r>
        <w:rPr>
          <w:rFonts w:hint="eastAsia" w:ascii="黑体" w:hAnsi="黑体" w:eastAsia="黑体" w:cs="黑体"/>
          <w:b w:val="0"/>
          <w:bCs w:val="0"/>
          <w:color w:val="000000"/>
          <w:kern w:val="44"/>
          <w:sz w:val="21"/>
          <w:szCs w:val="21"/>
        </w:rPr>
        <w:t>6.10.4 注销认证</w:t>
      </w:r>
      <w:bookmarkEnd w:id="49"/>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在下列情况下，</w:t>
      </w:r>
      <w:r>
        <w:rPr>
          <w:rFonts w:hint="eastAsia" w:ascii="Times New Roman" w:hAnsi="Times New Roman" w:eastAsia="宋体" w:cs="Times New Roman"/>
          <w:kern w:val="0"/>
          <w:szCs w:val="21"/>
        </w:rPr>
        <w:t>第三方认证机构</w:t>
      </w:r>
      <w:r>
        <w:rPr>
          <w:rFonts w:ascii="Times New Roman" w:hAnsi="Times New Roman" w:eastAsia="宋体" w:cs="Times New Roman"/>
          <w:kern w:val="0"/>
          <w:szCs w:val="21"/>
        </w:rPr>
        <w:t xml:space="preserve">应注销认证: </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a) 获证人员自愿申请撤销认证; </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b) 认证有效期满未申请再认证。 </w:t>
      </w:r>
    </w:p>
    <w:p>
      <w:pPr>
        <w:spacing w:line="360" w:lineRule="auto"/>
        <w:outlineLvl w:val="2"/>
        <w:rPr>
          <w:rFonts w:hint="eastAsia" w:ascii="黑体" w:hAnsi="黑体" w:eastAsia="黑体" w:cs="黑体"/>
          <w:b w:val="0"/>
          <w:bCs w:val="0"/>
          <w:color w:val="000000"/>
          <w:kern w:val="44"/>
          <w:szCs w:val="21"/>
        </w:rPr>
      </w:pPr>
      <w:bookmarkStart w:id="50" w:name="_Toc9986"/>
      <w:r>
        <w:rPr>
          <w:rFonts w:hint="eastAsia" w:ascii="黑体" w:hAnsi="黑体" w:eastAsia="黑体" w:cs="黑体"/>
          <w:b w:val="0"/>
          <w:bCs w:val="0"/>
          <w:color w:val="000000"/>
          <w:kern w:val="44"/>
          <w:szCs w:val="21"/>
        </w:rPr>
        <w:t>6.10.5 暂停、恢复、撤销和注销认证公告</w:t>
      </w:r>
      <w:bookmarkEnd w:id="50"/>
      <w:r>
        <w:rPr>
          <w:rFonts w:hint="eastAsia" w:ascii="黑体" w:hAnsi="黑体" w:eastAsia="黑体" w:cs="黑体"/>
          <w:b w:val="0"/>
          <w:bCs w:val="0"/>
          <w:color w:val="000000"/>
          <w:kern w:val="44"/>
          <w:szCs w:val="21"/>
        </w:rPr>
        <w:t xml:space="preserve"> </w:t>
      </w:r>
    </w:p>
    <w:p>
      <w:pPr>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在暂停、恢复、撤销和注销认证决定后，</w:t>
      </w:r>
      <w:r>
        <w:rPr>
          <w:rFonts w:hint="eastAsia" w:ascii="Times New Roman" w:hAnsi="Times New Roman" w:eastAsia="宋体" w:cs="Times New Roman"/>
          <w:kern w:val="0"/>
          <w:szCs w:val="21"/>
        </w:rPr>
        <w:t>第三方认证机构</w:t>
      </w:r>
      <w:r>
        <w:rPr>
          <w:rFonts w:ascii="Times New Roman" w:hAnsi="Times New Roman" w:eastAsia="宋体" w:cs="Times New Roman"/>
          <w:kern w:val="0"/>
          <w:szCs w:val="21"/>
        </w:rPr>
        <w:t>将发布认证公告。部分撤销认证的同时更新原有发布的电子证书。</w:t>
      </w:r>
    </w:p>
    <w:p>
      <w:pPr>
        <w:widowControl/>
        <w:jc w:val="left"/>
        <w:rPr>
          <w:rFonts w:ascii="Songti SC Light" w:hAnsi="Songti SC Light" w:eastAsia="Songti SC Light"/>
          <w:szCs w:val="21"/>
        </w:rPr>
      </w:pPr>
      <w:r>
        <w:rPr>
          <w:rFonts w:ascii="Songti SC Light" w:hAnsi="Songti SC Light" w:eastAsia="Songti SC Light"/>
          <w:szCs w:val="21"/>
        </w:rPr>
        <w:br w:type="page"/>
      </w:r>
    </w:p>
    <w:p>
      <w:pPr>
        <w:keepNext w:val="0"/>
        <w:keepLines w:val="0"/>
        <w:pageBreakBefore w:val="0"/>
        <w:widowControl w:val="0"/>
        <w:kinsoku/>
        <w:wordWrap/>
        <w:overflowPunct/>
        <w:topLinePunct w:val="0"/>
        <w:autoSpaceDE/>
        <w:autoSpaceDN/>
        <w:bidi w:val="0"/>
        <w:adjustRightInd/>
        <w:snapToGrid/>
        <w:spacing w:before="850" w:beforeAutospacing="0" w:afterAutospacing="0" w:line="360" w:lineRule="auto"/>
        <w:jc w:val="center"/>
        <w:textAlignment w:val="auto"/>
        <w:outlineLvl w:val="0"/>
        <w:rPr>
          <w:rFonts w:hint="eastAsia" w:ascii="黑体" w:hAnsi="黑体" w:eastAsia="黑体" w:cs="黑体"/>
          <w:b w:val="0"/>
          <w:bCs w:val="0"/>
          <w:sz w:val="21"/>
          <w:szCs w:val="21"/>
        </w:rPr>
      </w:pPr>
      <w:bookmarkStart w:id="51" w:name="_Toc12037"/>
      <w:r>
        <w:rPr>
          <w:rFonts w:hint="eastAsia" w:ascii="黑体" w:hAnsi="黑体" w:eastAsia="黑体" w:cs="黑体"/>
          <w:b w:val="0"/>
          <w:bCs w:val="0"/>
          <w:sz w:val="21"/>
          <w:szCs w:val="21"/>
        </w:rPr>
        <w:t>附</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录</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A</w:t>
      </w:r>
      <w:bookmarkEnd w:id="51"/>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outlineLvl w:val="0"/>
        <w:rPr>
          <w:rFonts w:hint="eastAsia" w:ascii="黑体" w:hAnsi="黑体" w:eastAsia="黑体" w:cs="黑体"/>
          <w:b w:val="0"/>
          <w:bCs w:val="0"/>
          <w:sz w:val="21"/>
          <w:szCs w:val="21"/>
        </w:rPr>
      </w:pPr>
      <w:bookmarkStart w:id="52" w:name="_Toc15201"/>
      <w:r>
        <w:rPr>
          <w:rFonts w:hint="eastAsia" w:ascii="黑体" w:hAnsi="黑体" w:eastAsia="黑体" w:cs="黑体"/>
          <w:b w:val="0"/>
          <w:bCs w:val="0"/>
          <w:sz w:val="21"/>
          <w:szCs w:val="21"/>
          <w:lang w:eastAsia="zh-CN"/>
        </w:rPr>
        <w:t>（资料性）</w:t>
      </w:r>
      <w:bookmarkEnd w:id="52"/>
    </w:p>
    <w:p>
      <w:pPr>
        <w:keepNext w:val="0"/>
        <w:keepLines w:val="0"/>
        <w:pageBreakBefore w:val="0"/>
        <w:widowControl w:val="0"/>
        <w:kinsoku/>
        <w:wordWrap/>
        <w:overflowPunct/>
        <w:topLinePunct w:val="0"/>
        <w:autoSpaceDE/>
        <w:autoSpaceDN/>
        <w:bidi w:val="0"/>
        <w:adjustRightInd w:val="0"/>
        <w:snapToGrid w:val="0"/>
        <w:spacing w:beforeAutospacing="0" w:after="283" w:afterAutospacing="0" w:line="360" w:lineRule="auto"/>
        <w:jc w:val="center"/>
        <w:textAlignment w:val="auto"/>
        <w:outlineLvl w:val="0"/>
        <w:rPr>
          <w:rFonts w:hint="eastAsia" w:ascii="黑体" w:hAnsi="黑体" w:eastAsia="黑体" w:cs="黑体"/>
          <w:b w:val="0"/>
          <w:bCs w:val="0"/>
          <w:sz w:val="21"/>
          <w:szCs w:val="21"/>
        </w:rPr>
      </w:pPr>
      <w:bookmarkStart w:id="53" w:name="_Toc32018"/>
      <w:r>
        <w:rPr>
          <w:rFonts w:hint="eastAsia" w:ascii="黑体" w:hAnsi="黑体" w:eastAsia="黑体" w:cs="黑体"/>
          <w:b w:val="0"/>
          <w:bCs w:val="0"/>
          <w:sz w:val="21"/>
          <w:szCs w:val="21"/>
        </w:rPr>
        <w:t>网络空间安全专业人员认证分类</w:t>
      </w:r>
      <w:bookmarkEnd w:id="53"/>
    </w:p>
    <w:p>
      <w:pPr>
        <w:keepNext w:val="0"/>
        <w:keepLines w:val="0"/>
        <w:pageBreakBefore w:val="0"/>
        <w:widowControl w:val="0"/>
        <w:kinsoku/>
        <w:wordWrap/>
        <w:overflowPunct/>
        <w:topLinePunct w:val="0"/>
        <w:autoSpaceDE/>
        <w:autoSpaceDN/>
        <w:bidi w:val="0"/>
        <w:adjustRightInd/>
        <w:snapToGrid/>
        <w:spacing w:beforeAutospacing="0" w:after="160" w:afterLines="50" w:afterAutospacing="0" w:line="360" w:lineRule="auto"/>
        <w:jc w:val="center"/>
        <w:textAlignment w:val="auto"/>
        <w:outlineLvl w:val="0"/>
        <w:rPr>
          <w:rFonts w:hint="default" w:ascii="黑体" w:hAnsi="黑体" w:eastAsia="黑体" w:cs="黑体"/>
          <w:b w:val="0"/>
          <w:bCs w:val="0"/>
          <w:sz w:val="21"/>
          <w:szCs w:val="21"/>
          <w:lang w:val="en-US" w:eastAsia="zh-CN"/>
        </w:rPr>
      </w:pPr>
      <w:bookmarkStart w:id="54" w:name="_Toc18405"/>
      <w:r>
        <w:rPr>
          <w:rFonts w:hint="eastAsia" w:ascii="黑体" w:hAnsi="黑体" w:eastAsia="黑体" w:cs="黑体"/>
          <w:b w:val="0"/>
          <w:bCs w:val="0"/>
          <w:sz w:val="21"/>
          <w:szCs w:val="21"/>
          <w:lang w:eastAsia="zh-CN"/>
        </w:rPr>
        <w:t>表</w:t>
      </w:r>
      <w:r>
        <w:rPr>
          <w:rFonts w:hint="eastAsia" w:ascii="黑体" w:hAnsi="黑体" w:eastAsia="黑体" w:cs="黑体"/>
          <w:b w:val="0"/>
          <w:bCs w:val="0"/>
          <w:sz w:val="21"/>
          <w:szCs w:val="21"/>
          <w:lang w:val="en-US" w:eastAsia="zh-CN"/>
        </w:rPr>
        <w:t xml:space="preserve">1 </w:t>
      </w:r>
      <w:r>
        <w:rPr>
          <w:rFonts w:hint="eastAsia" w:ascii="黑体" w:hAnsi="黑体" w:eastAsia="黑体" w:cs="黑体"/>
          <w:b w:val="0"/>
          <w:bCs w:val="0"/>
          <w:sz w:val="21"/>
          <w:szCs w:val="21"/>
        </w:rPr>
        <w:t>网络空间安全专业人员认证分类</w:t>
      </w:r>
      <w:bookmarkEnd w:id="54"/>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530"/>
        <w:gridCol w:w="250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spacing w:before="100" w:beforeAutospacing="1" w:after="100" w:afterAutospacing="1"/>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530" w:type="dxa"/>
            <w:vAlign w:val="center"/>
          </w:tcPr>
          <w:p>
            <w:pPr>
              <w:spacing w:before="100" w:beforeAutospacing="1" w:after="100" w:afterAutospacing="1"/>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类别</w:t>
            </w:r>
          </w:p>
        </w:tc>
        <w:tc>
          <w:tcPr>
            <w:tcW w:w="2508" w:type="dxa"/>
            <w:vAlign w:val="center"/>
          </w:tcPr>
          <w:p>
            <w:pPr>
              <w:spacing w:before="100" w:beforeAutospacing="1" w:after="100" w:afterAutospacing="1"/>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方向</w:t>
            </w:r>
          </w:p>
        </w:tc>
        <w:tc>
          <w:tcPr>
            <w:tcW w:w="3906" w:type="dxa"/>
            <w:vAlign w:val="center"/>
          </w:tcPr>
          <w:p>
            <w:pPr>
              <w:spacing w:before="100" w:beforeAutospacing="1" w:after="100" w:afterAutospacing="1"/>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适合人员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管理类</w:t>
            </w: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网络安全审计</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网络安全审计的人员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网络安全风险管理</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 xml:space="preserve">网络安全风险管理人员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个人信息保护</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接触到公众或个人信息的各类政企工作人员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舆情监控</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需要随时综合监测网络上传递的与本单位相关的舆情,各类政企工作人员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运营类</w:t>
            </w: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监测预警</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各级各类网络安全管理人员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网络安全规划设计</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从事各类网络空间相关的软硬件开发、系统设计与分析、网络空间安全规划管理等工作的人员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信息系统安全运维</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sz w:val="18"/>
                <w:szCs w:val="18"/>
                <w:shd w:val="clear" w:color="auto" w:fill="FFFFFF"/>
              </w:rPr>
              <w:t>从事信息系统运维的技术人员以及数据库操作人员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9</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网络安全应急响应</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针对网络安全事件做应急准备、和事件发生后采取处置措施的人员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技术类</w:t>
            </w: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云计算安全</w:t>
            </w:r>
          </w:p>
        </w:tc>
        <w:tc>
          <w:tcPr>
            <w:tcW w:w="3906" w:type="dxa"/>
            <w:vAlign w:val="center"/>
          </w:tcPr>
          <w:p>
            <w:pPr>
              <w:pStyle w:val="17"/>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提供云计算</w:t>
            </w:r>
            <w:r>
              <w:rPr>
                <w:rFonts w:hint="eastAsia" w:ascii="宋体" w:hAnsi="宋体" w:cs="宋体"/>
                <w:color w:val="000000" w:themeColor="text1"/>
                <w:sz w:val="18"/>
                <w:szCs w:val="18"/>
                <w:lang w:eastAsia="zh-CN"/>
                <w14:textFill>
                  <w14:solidFill>
                    <w14:schemeClr w14:val="tx1"/>
                  </w14:solidFill>
                </w14:textFill>
              </w:rPr>
              <w:t>服务的</w:t>
            </w:r>
            <w:r>
              <w:rPr>
                <w:rFonts w:hint="eastAsia" w:ascii="宋体" w:hAnsi="宋体" w:eastAsia="宋体" w:cs="宋体"/>
                <w:color w:val="000000" w:themeColor="text1"/>
                <w:sz w:val="18"/>
                <w:szCs w:val="18"/>
                <w14:textFill>
                  <w14:solidFill>
                    <w14:schemeClr w14:val="tx1"/>
                  </w14:solidFill>
                </w14:textFill>
              </w:rPr>
              <w:t>企事业单位安全管理人员、安全技术人员等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11</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软件安全开发</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软件开发相关管理与技术人员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12</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工业互联网安全</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企事业单位工业互联网管理和技术人员、提供工业互联网服务的企事业单位的管理和技术人员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13</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信息安全集成</w:t>
            </w:r>
          </w:p>
        </w:tc>
        <w:tc>
          <w:tcPr>
            <w:tcW w:w="3906" w:type="dxa"/>
            <w:vAlign w:val="center"/>
          </w:tcPr>
          <w:p>
            <w:pPr>
              <w:pStyle w:val="17"/>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系统集成相关管理与技术人员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14</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渗透测试</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信息测评单位或其他单位的渗透测试人员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大数据安全</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从事大数据安全的管理和技术人员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16</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密码技术</w:t>
            </w:r>
          </w:p>
        </w:tc>
        <w:tc>
          <w:tcPr>
            <w:tcW w:w="390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对信息数据进行加密、分析、识别和确认以及对密钥进行管理的技术和管理人员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17</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人工智能安全</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人工智能领域的安全管理和技术人员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67"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p>
        </w:tc>
        <w:tc>
          <w:tcPr>
            <w:tcW w:w="2508"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物联网安全</w:t>
            </w:r>
          </w:p>
        </w:tc>
        <w:tc>
          <w:tcPr>
            <w:tcW w:w="3906"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物联网安全领域的管理和技术人员</w:t>
            </w:r>
          </w:p>
        </w:tc>
      </w:tr>
    </w:tbl>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olor w:val="0070C0"/>
          <w:szCs w:val="21"/>
        </w:rPr>
      </w:pPr>
    </w:p>
    <w:p>
      <w:pPr>
        <w:rPr>
          <w:rFonts w:ascii="宋体" w:hAnsi="宋体"/>
          <w:szCs w:val="21"/>
        </w:rPr>
      </w:pPr>
    </w:p>
    <w:p>
      <w:pPr>
        <w:keepNext w:val="0"/>
        <w:keepLines w:val="0"/>
        <w:pageBreakBefore w:val="0"/>
        <w:widowControl w:val="0"/>
        <w:tabs>
          <w:tab w:val="left" w:pos="3455"/>
        </w:tabs>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sz w:val="21"/>
          <w:szCs w:val="21"/>
        </w:rPr>
      </w:pPr>
      <w:r>
        <w:rPr>
          <w:rFonts w:ascii="宋体" w:hAnsi="宋体"/>
          <w:szCs w:val="21"/>
        </w:rPr>
        <w:br w:type="page"/>
      </w:r>
      <w:bookmarkStart w:id="55" w:name="_Toc11050"/>
      <w:r>
        <w:rPr>
          <w:rFonts w:hint="eastAsia" w:ascii="黑体" w:hAnsi="黑体" w:eastAsia="黑体" w:cs="黑体"/>
          <w:b w:val="0"/>
          <w:bCs w:val="0"/>
          <w:sz w:val="21"/>
          <w:szCs w:val="21"/>
        </w:rPr>
        <w:t>附</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录</w:t>
      </w:r>
      <w:r>
        <w:rPr>
          <w:rFonts w:hint="eastAsia" w:ascii="黑体" w:hAnsi="黑体" w:eastAsia="黑体" w:cs="黑体"/>
          <w:b w:val="0"/>
          <w:bCs w:val="0"/>
          <w:sz w:val="21"/>
          <w:szCs w:val="21"/>
          <w:lang w:val="en-US" w:eastAsia="zh-CN"/>
        </w:rPr>
        <w:t xml:space="preserve"> </w:t>
      </w:r>
      <w:r>
        <w:rPr>
          <w:rFonts w:hint="eastAsia" w:ascii="黑体" w:hAnsi="黑体" w:eastAsia="黑体" w:cs="黑体"/>
          <w:b w:val="0"/>
          <w:bCs w:val="0"/>
          <w:sz w:val="21"/>
          <w:szCs w:val="21"/>
        </w:rPr>
        <w:t>B</w:t>
      </w:r>
      <w:bookmarkEnd w:id="55"/>
    </w:p>
    <w:p>
      <w:pPr>
        <w:tabs>
          <w:tab w:val="left" w:pos="3455"/>
        </w:tabs>
        <w:spacing w:line="360" w:lineRule="auto"/>
        <w:jc w:val="center"/>
        <w:outlineLvl w:val="0"/>
        <w:rPr>
          <w:rFonts w:hint="eastAsia" w:ascii="黑体" w:hAnsi="黑体" w:eastAsia="黑体" w:cs="黑体"/>
          <w:b w:val="0"/>
          <w:bCs w:val="0"/>
          <w:sz w:val="21"/>
          <w:szCs w:val="21"/>
          <w:lang w:eastAsia="zh-CN"/>
        </w:rPr>
      </w:pPr>
      <w:bookmarkStart w:id="56" w:name="_Toc7120"/>
      <w:r>
        <w:rPr>
          <w:rFonts w:hint="eastAsia" w:ascii="黑体" w:hAnsi="黑体" w:eastAsia="黑体" w:cs="黑体"/>
          <w:b w:val="0"/>
          <w:bCs w:val="0"/>
          <w:sz w:val="21"/>
          <w:szCs w:val="21"/>
          <w:lang w:eastAsia="zh-CN"/>
        </w:rPr>
        <w:t>（规范性）</w:t>
      </w:r>
      <w:bookmarkEnd w:id="56"/>
    </w:p>
    <w:p>
      <w:pPr>
        <w:keepNext w:val="0"/>
        <w:keepLines w:val="0"/>
        <w:pageBreakBefore w:val="0"/>
        <w:widowControl w:val="0"/>
        <w:tabs>
          <w:tab w:val="left" w:pos="3455"/>
        </w:tabs>
        <w:kinsoku/>
        <w:wordWrap/>
        <w:overflowPunct/>
        <w:topLinePunct w:val="0"/>
        <w:autoSpaceDE/>
        <w:autoSpaceDN/>
        <w:bidi w:val="0"/>
        <w:adjustRightInd/>
        <w:snapToGrid/>
        <w:spacing w:after="283" w:line="360" w:lineRule="auto"/>
        <w:jc w:val="center"/>
        <w:textAlignment w:val="auto"/>
        <w:outlineLvl w:val="0"/>
        <w:rPr>
          <w:szCs w:val="21"/>
        </w:rPr>
      </w:pPr>
      <w:bookmarkStart w:id="57" w:name="_Toc2411"/>
      <w:r>
        <w:rPr>
          <w:rFonts w:hint="eastAsia" w:ascii="黑体" w:hAnsi="黑体" w:eastAsia="黑体" w:cs="黑体"/>
          <w:b w:val="0"/>
          <w:bCs w:val="0"/>
          <w:sz w:val="21"/>
          <w:szCs w:val="21"/>
        </w:rPr>
        <w:t>通用基础知识考试大纲</w:t>
      </w:r>
      <w:bookmarkEnd w:id="57"/>
    </w:p>
    <w:p>
      <w:pPr>
        <w:pStyle w:val="51"/>
        <w:keepNext w:val="0"/>
        <w:keepLines w:val="0"/>
        <w:pageBreakBefore w:val="0"/>
        <w:widowControl w:val="0"/>
        <w:numPr>
          <w:ilvl w:val="0"/>
          <w:numId w:val="0"/>
        </w:numPr>
        <w:kinsoku/>
        <w:wordWrap/>
        <w:overflowPunct/>
        <w:topLinePunct w:val="0"/>
        <w:autoSpaceDE/>
        <w:autoSpaceDN/>
        <w:bidi w:val="0"/>
        <w:adjustRightInd w:val="0"/>
        <w:snapToGrid w:val="0"/>
        <w:spacing w:after="160" w:afterLines="50" w:line="360" w:lineRule="auto"/>
        <w:ind w:leftChars="0"/>
        <w:textAlignment w:val="auto"/>
        <w:rPr>
          <w:rFonts w:hint="eastAsia" w:ascii="黑体" w:hAnsi="黑体" w:eastAsia="黑体" w:cs="黑体"/>
          <w:b w:val="0"/>
          <w:bCs w:val="0"/>
        </w:rPr>
      </w:pPr>
      <w:r>
        <w:rPr>
          <w:rFonts w:hint="eastAsia" w:ascii="黑体" w:hAnsi="黑体" w:eastAsia="黑体" w:cs="黑体"/>
          <w:b w:val="0"/>
          <w:bCs w:val="0"/>
          <w:lang w:val="en-US" w:eastAsia="zh-CN"/>
        </w:rPr>
        <w:t xml:space="preserve">B.1 </w:t>
      </w:r>
      <w:r>
        <w:rPr>
          <w:rFonts w:hint="eastAsia" w:ascii="黑体" w:hAnsi="黑体" w:eastAsia="黑体" w:cs="黑体"/>
          <w:b w:val="0"/>
          <w:bCs w:val="0"/>
        </w:rPr>
        <w:t>目的</w:t>
      </w:r>
    </w:p>
    <w:p>
      <w:pPr>
        <w:pStyle w:val="2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lang w:val="en-US" w:eastAsia="zh-CN"/>
        </w:rPr>
      </w:pPr>
      <w:r>
        <w:rPr>
          <w:rFonts w:hint="eastAsia" w:ascii="宋体" w:hAnsi="宋体" w:eastAsia="宋体" w:cs="宋体"/>
          <w:kern w:val="0"/>
        </w:rPr>
        <w:t>为使考生达到本认证规范中规定网络空间安全专业人员一、二级能力要求，指导考生有效准备考试，特制定本考试大纲(以下简称大纲)</w:t>
      </w:r>
      <w:r>
        <w:rPr>
          <w:rFonts w:hint="eastAsia" w:ascii="宋体" w:hAnsi="宋体" w:cs="宋体"/>
          <w:kern w:val="0"/>
          <w:lang w:val="en-US" w:eastAsia="zh-CN"/>
        </w:rPr>
        <w:t>,</w:t>
      </w:r>
      <w:r>
        <w:rPr>
          <w:rFonts w:hint="eastAsia" w:ascii="宋体" w:hAnsi="宋体" w:eastAsia="宋体" w:cs="宋体"/>
          <w:color w:val="000000" w:themeColor="text1"/>
          <w:kern w:val="0"/>
          <w14:textFill>
            <w14:solidFill>
              <w14:schemeClr w14:val="tx1"/>
            </w14:solidFill>
          </w14:textFill>
        </w:rPr>
        <w:t>本大纲适用于所有申请网络空间安全专业人员认证一、二级的人员。</w:t>
      </w:r>
    </w:p>
    <w:p>
      <w:pPr>
        <w:pStyle w:val="53"/>
        <w:keepNext w:val="0"/>
        <w:keepLines w:val="0"/>
        <w:pageBreakBefore w:val="0"/>
        <w:widowControl w:val="0"/>
        <w:kinsoku/>
        <w:wordWrap/>
        <w:overflowPunct/>
        <w:topLinePunct w:val="0"/>
        <w:autoSpaceDE/>
        <w:autoSpaceDN/>
        <w:bidi w:val="0"/>
        <w:adjustRightInd w:val="0"/>
        <w:snapToGrid w:val="0"/>
        <w:spacing w:before="160" w:beforeLines="50" w:after="160" w:afterLines="50" w:line="360" w:lineRule="auto"/>
        <w:ind w:firstLine="0" w:firstLineChars="0"/>
        <w:textAlignment w:val="auto"/>
        <w:rPr>
          <w:rFonts w:hint="eastAsia" w:ascii="黑体" w:hAnsi="黑体" w:eastAsia="黑体" w:cs="黑体"/>
          <w:b w:val="0"/>
          <w:bCs w:val="0"/>
        </w:rPr>
      </w:pPr>
      <w:r>
        <w:rPr>
          <w:rFonts w:hint="eastAsia" w:ascii="黑体" w:hAnsi="黑体" w:eastAsia="黑体" w:cs="黑体"/>
          <w:b w:val="0"/>
          <w:bCs w:val="0"/>
          <w:lang w:val="en-US" w:eastAsia="zh-CN"/>
        </w:rPr>
        <w:t xml:space="preserve">B.2 </w:t>
      </w:r>
      <w:r>
        <w:rPr>
          <w:rFonts w:hint="eastAsia" w:ascii="黑体" w:hAnsi="黑体" w:eastAsia="黑体" w:cs="黑体"/>
          <w:b w:val="0"/>
          <w:bCs w:val="0"/>
        </w:rPr>
        <w:t>考试内容</w:t>
      </w:r>
    </w:p>
    <w:p>
      <w:pPr>
        <w:pStyle w:val="51"/>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黑体" w:hAnsi="黑体" w:eastAsia="黑体" w:cs="黑体"/>
        </w:rPr>
      </w:pPr>
      <w:r>
        <w:rPr>
          <w:rFonts w:hint="eastAsia" w:ascii="黑体" w:hAnsi="黑体" w:eastAsia="黑体" w:cs="黑体"/>
          <w:b w:val="0"/>
          <w:bCs w:val="0"/>
          <w:lang w:val="en-US" w:eastAsia="zh-CN"/>
        </w:rPr>
        <w:t>B.2.1</w:t>
      </w:r>
      <w:r>
        <w:rPr>
          <w:rFonts w:hint="eastAsia" w:ascii="黑体" w:hAnsi="黑体" w:eastAsia="黑体" w:cs="黑体"/>
        </w:rPr>
        <w:t>课程要求和考试比例</w:t>
      </w:r>
    </w:p>
    <w:p>
      <w:pPr>
        <w:pStyle w:val="51"/>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B.1 </w:t>
      </w:r>
      <w:r>
        <w:rPr>
          <w:rFonts w:hint="eastAsia" w:ascii="黑体" w:hAnsi="黑体" w:eastAsia="黑体" w:cs="黑体"/>
        </w:rPr>
        <w:t>课程要求和考试比例</w:t>
      </w:r>
    </w:p>
    <w:tbl>
      <w:tblPr>
        <w:tblStyle w:val="21"/>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5"/>
        <w:gridCol w:w="2460"/>
        <w:gridCol w:w="175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5" w:type="dxa"/>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课程名称</w:t>
            </w:r>
          </w:p>
        </w:tc>
        <w:tc>
          <w:tcPr>
            <w:tcW w:w="2460" w:type="dxa"/>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课程类型</w:t>
            </w:r>
          </w:p>
        </w:tc>
        <w:tc>
          <w:tcPr>
            <w:tcW w:w="1755" w:type="dxa"/>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选择范围</w:t>
            </w:r>
          </w:p>
        </w:tc>
        <w:tc>
          <w:tcPr>
            <w:tcW w:w="1935" w:type="dxa"/>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网络安全管理实践</w:t>
            </w:r>
          </w:p>
        </w:tc>
        <w:tc>
          <w:tcPr>
            <w:tcW w:w="2460"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5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1935" w:type="dxa"/>
          </w:tcPr>
          <w:p>
            <w:pPr>
              <w:pStyle w:val="51"/>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val="en-US" w:eastAsia="zh-CN"/>
              </w:rPr>
              <w:t>30</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信息安全技术</w:t>
            </w:r>
          </w:p>
        </w:tc>
        <w:tc>
          <w:tcPr>
            <w:tcW w:w="2460"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5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1935" w:type="dxa"/>
          </w:tcPr>
          <w:p>
            <w:pPr>
              <w:pStyle w:val="51"/>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val="en-US" w:eastAsia="zh-CN"/>
              </w:rPr>
              <w:t>30</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网络安全合规指引</w:t>
            </w:r>
          </w:p>
        </w:tc>
        <w:tc>
          <w:tcPr>
            <w:tcW w:w="2460"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55" w:type="dxa"/>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1935" w:type="dxa"/>
          </w:tcPr>
          <w:p>
            <w:pPr>
              <w:pStyle w:val="51"/>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val="en-US" w:eastAsia="zh-CN"/>
              </w:rPr>
              <w:t>40</w:t>
            </w:r>
            <w:r>
              <w:rPr>
                <w:rFonts w:hint="eastAsia" w:ascii="宋体" w:hAnsi="宋体" w:eastAsia="宋体" w:cs="宋体"/>
                <w:kern w:val="0"/>
                <w:sz w:val="18"/>
                <w:szCs w:val="18"/>
              </w:rPr>
              <w:t>%</w:t>
            </w:r>
          </w:p>
        </w:tc>
      </w:tr>
    </w:tbl>
    <w:p>
      <w:pPr>
        <w:pStyle w:val="51"/>
        <w:keepNext w:val="0"/>
        <w:keepLines w:val="0"/>
        <w:pageBreakBefore w:val="0"/>
        <w:widowControl w:val="0"/>
        <w:kinsoku/>
        <w:wordWrap/>
        <w:overflowPunct/>
        <w:topLinePunct w:val="0"/>
        <w:autoSpaceDE/>
        <w:autoSpaceDN/>
        <w:bidi w:val="0"/>
        <w:adjustRightInd w:val="0"/>
        <w:snapToGrid w:val="0"/>
        <w:spacing w:before="318" w:beforeLines="100" w:after="160" w:afterLines="50" w:line="360" w:lineRule="auto"/>
        <w:ind w:firstLine="0" w:firstLineChars="0"/>
        <w:textAlignment w:val="auto"/>
        <w:rPr>
          <w:rFonts w:hint="eastAsia" w:ascii="黑体" w:hAnsi="黑体" w:eastAsia="黑体" w:cs="黑体"/>
        </w:rPr>
      </w:pPr>
      <w:r>
        <w:rPr>
          <w:rFonts w:hint="eastAsia" w:ascii="黑体" w:hAnsi="黑体" w:eastAsia="黑体" w:cs="黑体"/>
          <w:lang w:val="en-US" w:eastAsia="zh-CN"/>
        </w:rPr>
        <w:t>B.3</w:t>
      </w:r>
      <w:r>
        <w:rPr>
          <w:rFonts w:hint="eastAsia" w:ascii="黑体" w:hAnsi="黑体" w:eastAsia="黑体" w:cs="黑体"/>
        </w:rPr>
        <w:t xml:space="preserve"> 各课程知识点要求</w:t>
      </w:r>
    </w:p>
    <w:p>
      <w:pPr>
        <w:pStyle w:val="51"/>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黑体" w:hAnsi="黑体" w:eastAsia="黑体" w:cs="黑体"/>
        </w:rPr>
      </w:pPr>
      <w:r>
        <w:rPr>
          <w:rFonts w:hint="eastAsia" w:ascii="黑体" w:hAnsi="黑体" w:eastAsia="黑体" w:cs="黑体"/>
          <w:lang w:val="en-US" w:eastAsia="zh-CN"/>
        </w:rPr>
        <w:t>B.3.1</w:t>
      </w:r>
      <w:r>
        <w:rPr>
          <w:rFonts w:hint="eastAsia" w:ascii="黑体" w:hAnsi="黑体" w:eastAsia="黑体" w:cs="黑体"/>
        </w:rPr>
        <w:t xml:space="preserve"> 网络安全管理实践</w:t>
      </w:r>
    </w:p>
    <w:p>
      <w:pPr>
        <w:pStyle w:val="51"/>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B.2 </w:t>
      </w:r>
      <w:r>
        <w:rPr>
          <w:rFonts w:hint="eastAsia" w:ascii="黑体" w:hAnsi="黑体" w:eastAsia="黑体" w:cs="黑体"/>
        </w:rPr>
        <w:t xml:space="preserve"> 网络安全管理实践</w:t>
      </w:r>
      <w:r>
        <w:rPr>
          <w:rFonts w:hint="eastAsia" w:ascii="黑体" w:hAnsi="黑体" w:eastAsia="黑体" w:cs="黑体"/>
          <w:lang w:eastAsia="zh-CN"/>
        </w:rPr>
        <w:t>课程内容与要求</w:t>
      </w:r>
    </w:p>
    <w:tbl>
      <w:tblPr>
        <w:tblStyle w:val="21"/>
        <w:tblW w:w="928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280"/>
        <w:gridCol w:w="451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280"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517"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633"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基本概念</w:t>
            </w:r>
          </w:p>
        </w:tc>
        <w:tc>
          <w:tcPr>
            <w:tcW w:w="4517" w:type="dxa"/>
            <w:vAlign w:val="center"/>
          </w:tcPr>
          <w:p>
            <w:pPr>
              <w:jc w:val="left"/>
              <w:rPr>
                <w:rFonts w:hint="eastAsia" w:ascii="宋体" w:hAnsi="宋体" w:eastAsia="宋体" w:cs="宋体"/>
                <w:kern w:val="0"/>
                <w:sz w:val="18"/>
                <w:szCs w:val="18"/>
              </w:rPr>
            </w:pPr>
            <w:r>
              <w:rPr>
                <w:rFonts w:hint="eastAsia" w:ascii="宋体" w:hAnsi="宋体" w:eastAsia="宋体" w:cs="宋体"/>
                <w:kern w:val="0"/>
                <w:sz w:val="18"/>
                <w:szCs w:val="18"/>
              </w:rPr>
              <w:t>理解网络安全基本概念和信息安全模型</w:t>
            </w:r>
          </w:p>
        </w:tc>
        <w:tc>
          <w:tcPr>
            <w:tcW w:w="1633" w:type="dxa"/>
            <w:vMerge w:val="restart"/>
            <w:vAlign w:val="center"/>
          </w:tcPr>
          <w:p>
            <w:pPr>
              <w:pStyle w:val="51"/>
              <w:ind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《网络安全管理实践》</w:t>
            </w:r>
          </w:p>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安全管理策略</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了解各国网络安全管理策略</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安全机构和人员管理</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掌握安全机构和人员管理的职责、管理方法</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安全技术管理</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掌握密码学、物理和通讯链路安全、网络安全管理、系统安全管理等基本概念和方法</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系统建设和安全管理</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掌握信息安全风险评估、信息安全工程知识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掌握信息系统获取、开发和维护管理</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安全事件管理和应急响应</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掌握信息安全事件分类分级</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掌握信息安全事件处置方法、流程</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掌握网络安全通报预警和应急处置知识、应急预案编制管理知识</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2280"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连续性管理</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掌握业务连续性管理知识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掌握备份技术和恢复管理知识</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2280" w:type="dxa"/>
            <w:vAlign w:val="center"/>
          </w:tcPr>
          <w:p>
            <w:pPr>
              <w:pStyle w:val="51"/>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法规和标准</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了解网络信息安全相关法律法规</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了解网络信息安全管理标准</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2280" w:type="dxa"/>
            <w:vAlign w:val="center"/>
          </w:tcPr>
          <w:p>
            <w:pPr>
              <w:pStyle w:val="51"/>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网络安全等级保护</w:t>
            </w:r>
          </w:p>
        </w:tc>
        <w:tc>
          <w:tcPr>
            <w:tcW w:w="4517" w:type="dxa"/>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了解网络安全等级保护制度和标准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了解信息安全等级保护实施过程</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理解安全等级保护定级和备案知识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理解安全等级保护建设知识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掌握安全等级保护测评知识</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了解网络安全自查和监督检查知识</w:t>
            </w:r>
          </w:p>
        </w:tc>
        <w:tc>
          <w:tcPr>
            <w:tcW w:w="1633" w:type="dxa"/>
            <w:vMerge w:val="continue"/>
            <w:vAlign w:val="center"/>
          </w:tcPr>
          <w:p>
            <w:pPr>
              <w:pStyle w:val="51"/>
              <w:ind w:firstLine="0" w:firstLineChars="0"/>
              <w:jc w:val="both"/>
              <w:rPr>
                <w:rFonts w:hint="eastAsia" w:ascii="宋体" w:hAnsi="宋体" w:eastAsia="宋体" w:cs="宋体"/>
                <w:kern w:val="0"/>
                <w:sz w:val="18"/>
                <w:szCs w:val="18"/>
              </w:rPr>
            </w:pPr>
          </w:p>
        </w:tc>
      </w:tr>
    </w:tbl>
    <w:p>
      <w:pPr>
        <w:pStyle w:val="51"/>
        <w:ind w:left="380" w:firstLine="0" w:firstLineChars="0"/>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rPr>
      </w:pPr>
      <w:r>
        <w:rPr>
          <w:rFonts w:hint="eastAsia" w:ascii="黑体" w:hAnsi="黑体" w:eastAsia="黑体" w:cs="黑体"/>
          <w:lang w:val="en-US" w:eastAsia="zh-CN"/>
        </w:rPr>
        <w:t>B.3.2</w:t>
      </w:r>
      <w:r>
        <w:rPr>
          <w:rFonts w:hint="eastAsia" w:ascii="黑体" w:hAnsi="黑体" w:eastAsia="黑体" w:cs="黑体"/>
          <w:color w:val="000000"/>
        </w:rPr>
        <w:t xml:space="preserve"> </w:t>
      </w:r>
      <w:r>
        <w:rPr>
          <w:rFonts w:hint="eastAsia" w:ascii="黑体" w:hAnsi="黑体" w:eastAsia="黑体" w:cs="黑体"/>
        </w:rPr>
        <w:t>信息安全技术</w:t>
      </w: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B.3 </w:t>
      </w:r>
      <w:r>
        <w:rPr>
          <w:rFonts w:hint="eastAsia" w:ascii="黑体" w:hAnsi="黑体" w:eastAsia="黑体" w:cs="黑体"/>
        </w:rPr>
        <w:t>信息安全技术</w:t>
      </w:r>
      <w:r>
        <w:rPr>
          <w:rFonts w:hint="eastAsia" w:ascii="黑体" w:hAnsi="黑体" w:eastAsia="黑体" w:cs="黑体"/>
          <w:lang w:eastAsia="zh-CN"/>
        </w:rPr>
        <w:t>课程内容与要求</w:t>
      </w:r>
    </w:p>
    <w:tbl>
      <w:tblPr>
        <w:tblStyle w:val="21"/>
        <w:tblW w:w="931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25"/>
        <w:gridCol w:w="495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章节号</w:t>
            </w:r>
          </w:p>
        </w:tc>
        <w:tc>
          <w:tcPr>
            <w:tcW w:w="2025"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章节名</w:t>
            </w:r>
          </w:p>
        </w:tc>
        <w:tc>
          <w:tcPr>
            <w:tcW w:w="4950"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内容与要求</w:t>
            </w:r>
          </w:p>
        </w:tc>
        <w:tc>
          <w:tcPr>
            <w:tcW w:w="1380"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密码学基础</w:t>
            </w:r>
          </w:p>
        </w:tc>
        <w:tc>
          <w:tcPr>
            <w:tcW w:w="4950" w:type="dxa"/>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了解密码学发展简史和基本概念</w:t>
            </w:r>
          </w:p>
          <w:p>
            <w:pPr>
              <w:jc w:val="both"/>
              <w:rPr>
                <w:rFonts w:hint="eastAsia" w:ascii="宋体" w:hAnsi="宋体" w:eastAsia="宋体" w:cs="宋体"/>
                <w:kern w:val="0"/>
                <w:sz w:val="18"/>
                <w:szCs w:val="18"/>
              </w:rPr>
            </w:pPr>
            <w:r>
              <w:rPr>
                <w:rFonts w:hint="eastAsia" w:ascii="宋体" w:hAnsi="宋体" w:eastAsia="宋体" w:cs="宋体"/>
                <w:kern w:val="0"/>
                <w:sz w:val="18"/>
                <w:szCs w:val="18"/>
              </w:rPr>
              <w:t>掌握密码学算法知识，如对称密码算法、非对称密码算法、哈希函数和数字签名算法</w:t>
            </w:r>
          </w:p>
        </w:tc>
        <w:tc>
          <w:tcPr>
            <w:tcW w:w="1380" w:type="dxa"/>
            <w:vMerge w:val="restart"/>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密码学应用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了解密码学应用基础</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了解公钥基础设施</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了解虚拟专用网络知识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了解特权管理基础设施</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了解其他密码应用知识</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鉴别和访问控制</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掌握鉴别的类型、访问控制模型、访问控制技术</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操作系统安全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掌握w</w:t>
            </w:r>
            <w:r>
              <w:rPr>
                <w:rFonts w:hint="eastAsia" w:ascii="宋体" w:hAnsi="宋体" w:cs="宋体"/>
                <w:kern w:val="0"/>
                <w:sz w:val="18"/>
                <w:szCs w:val="18"/>
                <w:lang w:eastAsia="zh-CN"/>
              </w:rPr>
              <w:t>H</w:t>
            </w:r>
            <w:r>
              <w:rPr>
                <w:rFonts w:hint="eastAsia" w:ascii="宋体" w:hAnsi="宋体" w:eastAsia="宋体" w:cs="宋体"/>
                <w:kern w:val="0"/>
                <w:sz w:val="18"/>
                <w:szCs w:val="18"/>
              </w:rPr>
              <w:t>ndows系统安全机制相关知识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掌握L</w:t>
            </w:r>
            <w:r>
              <w:rPr>
                <w:rFonts w:hint="eastAsia" w:ascii="宋体" w:hAnsi="宋体" w:cs="宋体"/>
                <w:kern w:val="0"/>
                <w:sz w:val="18"/>
                <w:szCs w:val="18"/>
                <w:lang w:eastAsia="zh-CN"/>
              </w:rPr>
              <w:t>H</w:t>
            </w:r>
            <w:r>
              <w:rPr>
                <w:rFonts w:hint="eastAsia" w:ascii="宋体" w:hAnsi="宋体" w:eastAsia="宋体" w:cs="宋体"/>
                <w:kern w:val="0"/>
                <w:sz w:val="18"/>
                <w:szCs w:val="18"/>
              </w:rPr>
              <w:t>nux系统安全机制相关知识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掌握安全操作系统设计原则</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网络安全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掌握网络安全协议、网络安全设备、网络架构安全知识</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数据库安全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了解数据库系统概念</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了解数据库安全知识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理解数据库安全防护方法</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应用安全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了解应用安全概念</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掌握web应用安全、互联网服务安全、办公软件安全等知识</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安全漏洞和恶意代码</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了解安全漏洞的产生和发展</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掌握安全漏洞发现和修复知识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掌握恶意代码的产生和发展、实现技术、防御技术</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安全攻击和防护</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了解信息收集和分析的作用、方法和防范</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了解常见攻击和防范</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了解后门设置与防范、痕迹清除和防范</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软件安全开发</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了解软件安全开发背景</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掌握软件开发模型知识</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掌握软件安全需求和设计</w:t>
            </w:r>
          </w:p>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掌握软件安全测试方法</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2025"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新技术安全</w:t>
            </w:r>
          </w:p>
        </w:tc>
        <w:tc>
          <w:tcPr>
            <w:tcW w:w="4950"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了解云计算安全、物联网安全、工业控制安全等知识</w:t>
            </w:r>
          </w:p>
        </w:tc>
        <w:tc>
          <w:tcPr>
            <w:tcW w:w="1380" w:type="dxa"/>
            <w:vMerge w:val="continue"/>
            <w:vAlign w:val="center"/>
          </w:tcPr>
          <w:p>
            <w:pPr>
              <w:pStyle w:val="53"/>
              <w:ind w:firstLine="0" w:firstLineChars="0"/>
              <w:jc w:val="both"/>
              <w:rPr>
                <w:rFonts w:hint="eastAsia" w:ascii="宋体" w:hAnsi="宋体" w:eastAsia="宋体" w:cs="宋体"/>
                <w:kern w:val="0"/>
                <w:sz w:val="18"/>
                <w:szCs w:val="18"/>
              </w:rPr>
            </w:pPr>
          </w:p>
        </w:tc>
      </w:tr>
    </w:tbl>
    <w:p>
      <w:pPr>
        <w:pStyle w:val="53"/>
        <w:keepNext w:val="0"/>
        <w:keepLines w:val="0"/>
        <w:pageBreakBefore w:val="0"/>
        <w:widowControl w:val="0"/>
        <w:kinsoku/>
        <w:wordWrap/>
        <w:overflowPunct/>
        <w:topLinePunct w:val="0"/>
        <w:autoSpaceDE/>
        <w:autoSpaceDN/>
        <w:bidi w:val="0"/>
        <w:adjustRightInd/>
        <w:snapToGrid/>
        <w:spacing w:before="318" w:beforeLines="100" w:after="160" w:afterLines="50"/>
        <w:ind w:left="159" w:leftChars="0" w:hanging="159" w:hangingChars="76"/>
        <w:textAlignment w:val="auto"/>
        <w:rPr>
          <w:rFonts w:hint="eastAsia" w:ascii="黑体" w:hAnsi="黑体" w:eastAsia="黑体" w:cs="黑体"/>
          <w:color w:val="000000"/>
        </w:rPr>
      </w:pPr>
      <w:r>
        <w:rPr>
          <w:rFonts w:hint="eastAsia" w:ascii="黑体" w:hAnsi="黑体" w:eastAsia="黑体" w:cs="黑体"/>
          <w:lang w:val="en-US" w:eastAsia="zh-CN"/>
        </w:rPr>
        <w:t>B.3.3</w:t>
      </w:r>
      <w:r>
        <w:rPr>
          <w:rFonts w:hint="eastAsia" w:ascii="黑体" w:hAnsi="黑体" w:eastAsia="黑体" w:cs="黑体"/>
          <w:color w:val="000000"/>
        </w:rPr>
        <w:t xml:space="preserve"> 网络安全合规指引</w:t>
      </w: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B.4  </w:t>
      </w:r>
      <w:r>
        <w:rPr>
          <w:rFonts w:hint="eastAsia" w:ascii="黑体" w:hAnsi="黑体" w:eastAsia="黑体" w:cs="黑体"/>
          <w:lang w:eastAsia="zh-CN"/>
        </w:rPr>
        <w:t>网络安全合规指引课程内容与要求</w:t>
      </w:r>
    </w:p>
    <w:tbl>
      <w:tblPr>
        <w:tblStyle w:val="21"/>
        <w:tblW w:w="937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32"/>
        <w:gridCol w:w="5201"/>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章节号</w:t>
            </w:r>
          </w:p>
        </w:tc>
        <w:tc>
          <w:tcPr>
            <w:tcW w:w="1832"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章节名</w:t>
            </w:r>
          </w:p>
        </w:tc>
        <w:tc>
          <w:tcPr>
            <w:tcW w:w="5201"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内容与要求</w:t>
            </w:r>
          </w:p>
        </w:tc>
        <w:tc>
          <w:tcPr>
            <w:tcW w:w="1395"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832" w:type="dxa"/>
            <w:vAlign w:val="center"/>
          </w:tcPr>
          <w:p>
            <w:pPr>
              <w:pStyle w:val="53"/>
              <w:ind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安全义务</w:t>
            </w:r>
          </w:p>
        </w:tc>
        <w:tc>
          <w:tcPr>
            <w:tcW w:w="5201" w:type="dxa"/>
            <w:vAlign w:val="center"/>
          </w:tcPr>
          <w:p>
            <w:pPr>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了解一般安全义务、网络运营者的安全义务、网络产品和服务提供者的安全义务、涉恐及安全义务</w:t>
            </w:r>
          </w:p>
        </w:tc>
        <w:tc>
          <w:tcPr>
            <w:tcW w:w="1395" w:type="dxa"/>
            <w:vMerge w:val="restart"/>
            <w:vAlign w:val="center"/>
          </w:tcPr>
          <w:p>
            <w:pPr>
              <w:pStyle w:val="53"/>
              <w:ind w:firstLine="0" w:firstLineChars="0"/>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《网络安全管理实践》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47"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832" w:type="dxa"/>
            <w:vAlign w:val="center"/>
          </w:tcPr>
          <w:p>
            <w:pPr>
              <w:pStyle w:val="53"/>
              <w:ind w:firstLine="0" w:firstLineChars="0"/>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执法程序</w:t>
            </w:r>
          </w:p>
        </w:tc>
        <w:tc>
          <w:tcPr>
            <w:tcW w:w="5201" w:type="dxa"/>
            <w:vAlign w:val="center"/>
          </w:tcPr>
          <w:p>
            <w:pPr>
              <w:pStyle w:val="53"/>
              <w:ind w:firstLine="0" w:firstLineChars="0"/>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了解网络安全和信息安全的执法程序</w:t>
            </w:r>
          </w:p>
        </w:tc>
        <w:tc>
          <w:tcPr>
            <w:tcW w:w="1395" w:type="dxa"/>
            <w:vMerge w:val="continue"/>
            <w:vAlign w:val="center"/>
          </w:tcPr>
          <w:p>
            <w:pPr>
              <w:pStyle w:val="53"/>
              <w:ind w:firstLine="0" w:firstLineChars="0"/>
              <w:jc w:val="both"/>
              <w:rPr>
                <w:rFonts w:hint="eastAsia" w:ascii="宋体" w:hAnsi="宋体" w:eastAsia="宋体" w:cs="宋体"/>
                <w:color w:val="000000"/>
                <w:kern w:val="0"/>
                <w:sz w:val="18"/>
                <w:szCs w:val="18"/>
              </w:rPr>
            </w:pPr>
          </w:p>
        </w:tc>
      </w:tr>
    </w:tbl>
    <w:p>
      <w:pPr>
        <w:pStyle w:val="53"/>
        <w:ind w:left="380" w:firstLine="0" w:firstLineChars="0"/>
        <w:rPr>
          <w:rFonts w:ascii="宋体" w:hAnsi="宋体"/>
        </w:rPr>
      </w:pPr>
    </w:p>
    <w:p>
      <w:pPr>
        <w:pStyle w:val="51"/>
        <w:spacing w:line="360" w:lineRule="auto"/>
        <w:ind w:firstLine="0" w:firstLineChars="0"/>
        <w:rPr>
          <w:rFonts w:hint="eastAsia" w:ascii="黑体" w:hAnsi="黑体" w:eastAsia="黑体" w:cs="黑体"/>
          <w:b w:val="0"/>
          <w:bCs w:val="0"/>
        </w:rPr>
      </w:pPr>
      <w:r>
        <w:rPr>
          <w:rFonts w:hint="eastAsia" w:ascii="黑体" w:hAnsi="黑体" w:eastAsia="黑体" w:cs="黑体"/>
          <w:lang w:val="en-US" w:eastAsia="zh-CN"/>
        </w:rPr>
        <w:t>B.4</w:t>
      </w:r>
      <w:r>
        <w:rPr>
          <w:rFonts w:hint="eastAsia" w:ascii="黑体" w:hAnsi="黑体" w:eastAsia="黑体" w:cs="黑体"/>
        </w:rPr>
        <w:t xml:space="preserve"> </w:t>
      </w:r>
      <w:r>
        <w:rPr>
          <w:rFonts w:hint="eastAsia" w:ascii="黑体" w:hAnsi="黑体" w:eastAsia="黑体" w:cs="黑体"/>
          <w:b w:val="0"/>
          <w:bCs w:val="0"/>
        </w:rPr>
        <w:t>考试说明</w:t>
      </w:r>
    </w:p>
    <w:p>
      <w:pPr>
        <w:spacing w:line="360" w:lineRule="auto"/>
        <w:rPr>
          <w:rFonts w:hint="eastAsia" w:ascii="黑体" w:hAnsi="黑体" w:eastAsia="黑体" w:cs="黑体"/>
          <w:szCs w:val="21"/>
          <w:lang w:eastAsia="zh-CN"/>
        </w:rPr>
      </w:pPr>
      <w:r>
        <w:rPr>
          <w:rFonts w:hint="eastAsia" w:ascii="黑体" w:hAnsi="黑体" w:eastAsia="黑体" w:cs="黑体"/>
          <w:lang w:val="en-US" w:eastAsia="zh-CN"/>
        </w:rPr>
        <w:t>B.4.1</w:t>
      </w:r>
      <w:r>
        <w:rPr>
          <w:rFonts w:hint="eastAsia" w:ascii="黑体" w:hAnsi="黑体" w:eastAsia="黑体" w:cs="黑体"/>
        </w:rPr>
        <w:t xml:space="preserve"> </w:t>
      </w:r>
      <w:r>
        <w:rPr>
          <w:rFonts w:hint="eastAsia" w:ascii="黑体" w:hAnsi="黑体" w:eastAsia="黑体" w:cs="黑体"/>
          <w:szCs w:val="21"/>
        </w:rPr>
        <w:t xml:space="preserve"> 题型</w:t>
      </w:r>
      <w:r>
        <w:rPr>
          <w:rFonts w:hint="eastAsia" w:ascii="黑体" w:hAnsi="黑体" w:eastAsia="黑体" w:cs="黑体"/>
          <w:szCs w:val="21"/>
          <w:lang w:eastAsia="zh-CN"/>
        </w:rPr>
        <w:t>和分值比例</w:t>
      </w:r>
    </w:p>
    <w:p>
      <w:pPr>
        <w:spacing w:line="360" w:lineRule="auto"/>
        <w:jc w:val="center"/>
        <w:rPr>
          <w:rFonts w:hint="default" w:ascii="黑体" w:hAnsi="黑体" w:eastAsia="黑体" w:cs="黑体"/>
          <w:szCs w:val="21"/>
          <w:lang w:val="en-US" w:eastAsia="zh-CN"/>
        </w:rPr>
      </w:pPr>
      <w:r>
        <w:rPr>
          <w:rFonts w:hint="eastAsia" w:ascii="黑体" w:hAnsi="黑体" w:eastAsia="黑体" w:cs="黑体"/>
          <w:szCs w:val="21"/>
          <w:lang w:val="en-US" w:eastAsia="zh-CN"/>
        </w:rPr>
        <w:t>表B.5 题型和分值比例</w:t>
      </w:r>
    </w:p>
    <w:tbl>
      <w:tblPr>
        <w:tblStyle w:val="21"/>
        <w:tblW w:w="955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485"/>
        <w:gridCol w:w="259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题型</w:t>
            </w:r>
          </w:p>
        </w:tc>
        <w:tc>
          <w:tcPr>
            <w:tcW w:w="248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数量</w:t>
            </w:r>
          </w:p>
        </w:tc>
        <w:tc>
          <w:tcPr>
            <w:tcW w:w="259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单题分值（分）</w:t>
            </w:r>
          </w:p>
        </w:tc>
        <w:tc>
          <w:tcPr>
            <w:tcW w:w="252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单项选择</w:t>
            </w:r>
          </w:p>
        </w:tc>
        <w:tc>
          <w:tcPr>
            <w:tcW w:w="248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259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52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多项选择</w:t>
            </w:r>
          </w:p>
        </w:tc>
        <w:tc>
          <w:tcPr>
            <w:tcW w:w="2485"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2595"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2520"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判断题</w:t>
            </w:r>
          </w:p>
        </w:tc>
        <w:tc>
          <w:tcPr>
            <w:tcW w:w="248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59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520"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5" w:type="dxa"/>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问答题</w:t>
            </w:r>
          </w:p>
        </w:tc>
        <w:tc>
          <w:tcPr>
            <w:tcW w:w="2485"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2595"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2520" w:type="dxa"/>
          </w:tcPr>
          <w:p>
            <w:pPr>
              <w:spacing w:line="36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ascii="Songti SC" w:hAnsi="Songti SC" w:eastAsia="Songti SC"/>
          <w:szCs w:val="21"/>
        </w:rPr>
      </w:pPr>
      <w:r>
        <w:rPr>
          <w:rFonts w:hint="eastAsia" w:ascii="黑体" w:hAnsi="黑体" w:eastAsia="黑体" w:cs="黑体"/>
          <w:lang w:val="en-US" w:eastAsia="zh-CN"/>
        </w:rPr>
        <w:t>B.4.2</w:t>
      </w:r>
      <w:r>
        <w:rPr>
          <w:rFonts w:hint="eastAsia" w:ascii="黑体" w:hAnsi="黑体" w:eastAsia="黑体" w:cs="黑体"/>
          <w:szCs w:val="21"/>
        </w:rPr>
        <w:t>考试时间</w:t>
      </w:r>
    </w:p>
    <w:p>
      <w:pPr>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总考试时间为</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分钟，提前1</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分钟进入考场，迟到3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分钟以上的视为放弃考试，考试开始后3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分钟内离场的成绩无效。</w:t>
      </w:r>
    </w:p>
    <w:p>
      <w:pPr>
        <w:spacing w:line="360" w:lineRule="auto"/>
        <w:rPr>
          <w:rFonts w:hint="eastAsia" w:ascii="黑体" w:hAnsi="黑体" w:eastAsia="黑体" w:cs="黑体"/>
          <w:szCs w:val="21"/>
        </w:rPr>
      </w:pPr>
      <w:r>
        <w:rPr>
          <w:rFonts w:hint="eastAsia" w:ascii="黑体" w:hAnsi="黑体" w:eastAsia="黑体" w:cs="黑体"/>
          <w:lang w:val="en-US" w:eastAsia="zh-CN"/>
        </w:rPr>
        <w:t>B.4.3</w:t>
      </w:r>
      <w:r>
        <w:rPr>
          <w:rFonts w:hint="eastAsia" w:ascii="黑体" w:hAnsi="黑体" w:eastAsia="黑体" w:cs="黑体"/>
        </w:rPr>
        <w:t xml:space="preserve"> </w:t>
      </w:r>
      <w:r>
        <w:rPr>
          <w:rFonts w:hint="eastAsia" w:ascii="黑体" w:hAnsi="黑体" w:eastAsia="黑体" w:cs="黑体"/>
          <w:szCs w:val="21"/>
        </w:rPr>
        <w:t>考试合格标准</w:t>
      </w:r>
    </w:p>
    <w:p>
      <w:pPr>
        <w:spacing w:line="360" w:lineRule="auto"/>
        <w:ind w:firstLine="420" w:firstLineChars="200"/>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考试满分为1</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分，考试成绩</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分以上为合格</w:t>
      </w:r>
      <w:r>
        <w:rPr>
          <w:rFonts w:hint="eastAsia" w:ascii="Times New Roman" w:hAnsi="Times New Roman" w:eastAsia="宋体" w:cs="Times New Roman"/>
          <w:kern w:val="0"/>
          <w:szCs w:val="21"/>
          <w:lang w:eastAsia="zh-CN"/>
        </w:rPr>
        <w:t>。</w:t>
      </w:r>
    </w:p>
    <w:p>
      <w:pPr>
        <w:widowControl/>
        <w:jc w:val="left"/>
        <w:rPr>
          <w:rFonts w:ascii="宋体" w:hAnsi="宋体"/>
          <w:color w:val="0070C0"/>
          <w:szCs w:val="21"/>
        </w:rPr>
      </w:pPr>
    </w:p>
    <w:p>
      <w:pPr>
        <w:widowControl/>
        <w:jc w:val="left"/>
        <w:rPr>
          <w:rFonts w:ascii="黑体" w:hAnsi="黑体" w:eastAsia="黑体" w:cs="黑体"/>
          <w:szCs w:val="21"/>
        </w:rPr>
      </w:pPr>
      <w:r>
        <w:rPr>
          <w:rFonts w:ascii="黑体" w:hAnsi="黑体" w:eastAsia="黑体" w:cs="黑体"/>
          <w:szCs w:val="21"/>
        </w:rPr>
        <w:br w:type="page"/>
      </w:r>
    </w:p>
    <w:p>
      <w:pPr>
        <w:keepNext w:val="0"/>
        <w:keepLines w:val="0"/>
        <w:pageBreakBefore w:val="0"/>
        <w:widowControl w:val="0"/>
        <w:kinsoku/>
        <w:wordWrap/>
        <w:overflowPunct/>
        <w:topLinePunct w:val="0"/>
        <w:autoSpaceDE/>
        <w:autoSpaceDN/>
        <w:bidi w:val="0"/>
        <w:adjustRightInd w:val="0"/>
        <w:snapToGrid w:val="0"/>
        <w:spacing w:before="850" w:line="360" w:lineRule="auto"/>
        <w:jc w:val="center"/>
        <w:textAlignment w:val="auto"/>
        <w:outlineLvl w:val="0"/>
        <w:rPr>
          <w:rFonts w:hint="eastAsia" w:ascii="黑体" w:hAnsi="黑体" w:eastAsia="黑体" w:cs="黑体"/>
          <w:szCs w:val="21"/>
        </w:rPr>
      </w:pPr>
      <w:bookmarkStart w:id="58" w:name="_Toc5417"/>
      <w:r>
        <w:rPr>
          <w:rFonts w:hint="eastAsia" w:ascii="黑体" w:hAnsi="黑体" w:eastAsia="黑体" w:cs="黑体"/>
          <w:szCs w:val="21"/>
        </w:rPr>
        <w:t>附</w:t>
      </w:r>
      <w:r>
        <w:rPr>
          <w:rFonts w:hint="eastAsia" w:ascii="黑体" w:hAnsi="黑体" w:eastAsia="黑体" w:cs="黑体"/>
          <w:szCs w:val="21"/>
          <w:lang w:val="en-US" w:eastAsia="zh-CN"/>
        </w:rPr>
        <w:t xml:space="preserve"> </w:t>
      </w:r>
      <w:r>
        <w:rPr>
          <w:rFonts w:hint="eastAsia" w:ascii="黑体" w:hAnsi="黑体" w:eastAsia="黑体" w:cs="黑体"/>
          <w:szCs w:val="21"/>
        </w:rPr>
        <w:t>录</w:t>
      </w:r>
      <w:r>
        <w:rPr>
          <w:rFonts w:hint="eastAsia" w:ascii="黑体" w:hAnsi="黑体" w:eastAsia="黑体" w:cs="黑体"/>
          <w:szCs w:val="21"/>
          <w:lang w:val="en-US" w:eastAsia="zh-CN"/>
        </w:rPr>
        <w:t xml:space="preserve"> </w:t>
      </w:r>
      <w:r>
        <w:rPr>
          <w:rFonts w:hint="eastAsia" w:ascii="黑体" w:hAnsi="黑体" w:eastAsia="黑体" w:cs="黑体"/>
          <w:szCs w:val="21"/>
        </w:rPr>
        <w:t>C</w:t>
      </w:r>
      <w:bookmarkEnd w:id="58"/>
    </w:p>
    <w:p>
      <w:pPr>
        <w:spacing w:line="360" w:lineRule="auto"/>
        <w:jc w:val="center"/>
        <w:outlineLvl w:val="0"/>
        <w:rPr>
          <w:rFonts w:hint="eastAsia" w:ascii="黑体" w:hAnsi="黑体" w:eastAsia="黑体" w:cs="黑体"/>
          <w:szCs w:val="21"/>
          <w:lang w:eastAsia="zh-CN"/>
        </w:rPr>
      </w:pPr>
      <w:bookmarkStart w:id="59" w:name="_Toc31409"/>
      <w:r>
        <w:rPr>
          <w:rFonts w:hint="eastAsia" w:ascii="黑体" w:hAnsi="黑体" w:eastAsia="黑体" w:cs="黑体"/>
          <w:szCs w:val="21"/>
          <w:lang w:eastAsia="zh-CN"/>
        </w:rPr>
        <w:t>（规范性）</w:t>
      </w:r>
      <w:bookmarkEnd w:id="59"/>
    </w:p>
    <w:p>
      <w:pPr>
        <w:keepNext w:val="0"/>
        <w:keepLines w:val="0"/>
        <w:pageBreakBefore w:val="0"/>
        <w:widowControl w:val="0"/>
        <w:kinsoku/>
        <w:wordWrap/>
        <w:overflowPunct/>
        <w:topLinePunct w:val="0"/>
        <w:autoSpaceDE/>
        <w:autoSpaceDN/>
        <w:bidi w:val="0"/>
        <w:adjustRightInd/>
        <w:snapToGrid/>
        <w:spacing w:after="283" w:line="360" w:lineRule="auto"/>
        <w:jc w:val="center"/>
        <w:textAlignment w:val="auto"/>
        <w:outlineLvl w:val="0"/>
        <w:rPr>
          <w:szCs w:val="21"/>
        </w:rPr>
      </w:pPr>
      <w:bookmarkStart w:id="60" w:name="_Toc23680"/>
      <w:r>
        <w:rPr>
          <w:rFonts w:hint="eastAsia" w:ascii="黑体" w:hAnsi="黑体" w:eastAsia="黑体" w:cs="黑体"/>
          <w:szCs w:val="21"/>
        </w:rPr>
        <w:t>网络安全风险管理考试大纲</w:t>
      </w:r>
      <w:bookmarkEnd w:id="60"/>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b/>
          <w:bCs/>
        </w:rPr>
      </w:pPr>
      <w:r>
        <w:rPr>
          <w:rFonts w:hint="eastAsia" w:ascii="黑体" w:hAnsi="黑体" w:eastAsia="黑体" w:cs="黑体"/>
          <w:b w:val="0"/>
          <w:bCs w:val="0"/>
          <w:lang w:val="en-US" w:eastAsia="zh-CN"/>
        </w:rPr>
        <w:t xml:space="preserve">C.1 </w:t>
      </w:r>
      <w:r>
        <w:rPr>
          <w:rFonts w:hint="eastAsia" w:ascii="黑体" w:hAnsi="黑体" w:eastAsia="黑体" w:cs="黑体"/>
          <w:b w:val="0"/>
          <w:bCs w:val="0"/>
        </w:rPr>
        <w:t>目的</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eastAsia="宋体"/>
          <w:kern w:val="0"/>
          <w:lang w:val="en-US" w:eastAsia="zh-CN"/>
        </w:rPr>
      </w:pPr>
      <w:r>
        <w:rPr>
          <w:kern w:val="0"/>
        </w:rPr>
        <w:t>为使考生</w:t>
      </w:r>
      <w:r>
        <w:rPr>
          <w:rFonts w:hint="eastAsia"/>
          <w:kern w:val="0"/>
        </w:rPr>
        <w:t>达到本认证规范中</w:t>
      </w:r>
      <w:r>
        <w:rPr>
          <w:kern w:val="0"/>
        </w:rPr>
        <w:t>规定</w:t>
      </w:r>
      <w:r>
        <w:rPr>
          <w:rFonts w:hint="eastAsia"/>
          <w:kern w:val="0"/>
        </w:rPr>
        <w:t>网络空间安全专业人员管理类网络安全风险管理（</w:t>
      </w:r>
      <w:r>
        <w:rPr>
          <w:kern w:val="0"/>
        </w:rPr>
        <w:t>Network secur</w:t>
      </w:r>
      <w:r>
        <w:rPr>
          <w:rFonts w:hint="eastAsia"/>
          <w:kern w:val="0"/>
          <w:lang w:eastAsia="zh-CN"/>
        </w:rPr>
        <w:t>H</w:t>
      </w:r>
      <w:r>
        <w:rPr>
          <w:kern w:val="0"/>
        </w:rPr>
        <w:t>ty r</w:t>
      </w:r>
      <w:r>
        <w:rPr>
          <w:rFonts w:hint="eastAsia"/>
          <w:kern w:val="0"/>
          <w:lang w:eastAsia="zh-CN"/>
        </w:rPr>
        <w:t>H</w:t>
      </w:r>
      <w:r>
        <w:rPr>
          <w:kern w:val="0"/>
        </w:rPr>
        <w:t>sk management</w:t>
      </w:r>
      <w:r>
        <w:rPr>
          <w:rFonts w:hint="eastAsia"/>
          <w:kern w:val="0"/>
        </w:rPr>
        <w:t>）方向三、四级能力要求，</w:t>
      </w:r>
      <w:r>
        <w:rPr>
          <w:kern w:val="0"/>
        </w:rPr>
        <w:t>指导考生有效准备考试，特制定本考试大纲(以下简称大纲)</w:t>
      </w:r>
      <w:r>
        <w:rPr>
          <w:rFonts w:hint="eastAsia"/>
          <w:kern w:val="0"/>
          <w:lang w:val="en-US" w:eastAsia="zh-CN"/>
        </w:rPr>
        <w:t>,</w:t>
      </w:r>
      <w:r>
        <w:rPr>
          <w:rFonts w:hint="eastAsia" w:ascii="宋体" w:hAnsi="宋体"/>
          <w:color w:val="000000" w:themeColor="text1"/>
          <w:kern w:val="0"/>
          <w14:textFill>
            <w14:solidFill>
              <w14:schemeClr w14:val="tx1"/>
            </w14:solidFill>
          </w14:textFill>
        </w:rPr>
        <w:t>本大纲适用于所有申请网络空间安全专业人员认证管理类网络安全风险管理方向三、四级的人员。</w:t>
      </w:r>
    </w:p>
    <w:p>
      <w:pPr>
        <w:pStyle w:val="53"/>
        <w:spacing w:line="360" w:lineRule="auto"/>
        <w:ind w:firstLine="0" w:firstLineChars="0"/>
        <w:rPr>
          <w:rFonts w:hint="eastAsia" w:ascii="黑体" w:hAnsi="黑体" w:eastAsia="黑体" w:cs="黑体"/>
          <w:b w:val="0"/>
          <w:bCs w:val="0"/>
        </w:rPr>
      </w:pPr>
      <w:r>
        <w:rPr>
          <w:rFonts w:hint="eastAsia" w:ascii="黑体" w:hAnsi="黑体" w:eastAsia="黑体" w:cs="黑体"/>
          <w:b w:val="0"/>
          <w:bCs w:val="0"/>
          <w:lang w:val="en-US" w:eastAsia="zh-CN"/>
        </w:rPr>
        <w:t xml:space="preserve">C.2 </w:t>
      </w:r>
      <w:r>
        <w:rPr>
          <w:rFonts w:hint="eastAsia" w:ascii="黑体" w:hAnsi="黑体" w:eastAsia="黑体" w:cs="黑体"/>
          <w:b w:val="0"/>
          <w:bCs w:val="0"/>
        </w:rPr>
        <w:t>考试内容</w:t>
      </w:r>
    </w:p>
    <w:p>
      <w:pPr>
        <w:pStyle w:val="51"/>
        <w:spacing w:after="156" w:afterLines="50" w:line="360" w:lineRule="auto"/>
        <w:ind w:firstLine="0" w:firstLineChars="0"/>
        <w:rPr>
          <w:rFonts w:hint="eastAsia" w:ascii="黑体" w:hAnsi="黑体" w:eastAsia="黑体" w:cs="黑体"/>
        </w:rPr>
      </w:pPr>
      <w:r>
        <w:rPr>
          <w:rFonts w:hint="eastAsia" w:ascii="黑体" w:hAnsi="黑体" w:eastAsia="黑体" w:cs="黑体"/>
          <w:b w:val="0"/>
          <w:bCs w:val="0"/>
          <w:lang w:val="en-US" w:eastAsia="zh-CN"/>
        </w:rPr>
        <w:t>C.2.1</w:t>
      </w:r>
      <w:r>
        <w:rPr>
          <w:rFonts w:hint="eastAsia" w:ascii="黑体" w:hAnsi="黑体" w:eastAsia="黑体" w:cs="黑体"/>
        </w:rPr>
        <w:t>课程要求和考试比例</w:t>
      </w:r>
    </w:p>
    <w:p>
      <w:pPr>
        <w:pStyle w:val="51"/>
        <w:spacing w:after="156" w:afterLines="50" w:line="360" w:lineRule="auto"/>
        <w:ind w:firstLine="0" w:firstLineChars="0"/>
        <w:jc w:val="center"/>
        <w:rPr>
          <w:rFonts w:hint="default" w:ascii="黑体" w:hAnsi="黑体" w:eastAsia="黑体" w:cs="黑体"/>
          <w:lang w:val="en-US" w:eastAsia="zh-CN"/>
        </w:rPr>
      </w:pPr>
      <w:r>
        <w:rPr>
          <w:rFonts w:hint="eastAsia" w:ascii="黑体" w:hAnsi="黑体" w:eastAsia="黑体" w:cs="黑体"/>
          <w:lang w:val="en-US" w:eastAsia="zh-CN"/>
        </w:rPr>
        <w:t>表C.1</w:t>
      </w:r>
      <w:r>
        <w:rPr>
          <w:rFonts w:hint="eastAsia" w:ascii="黑体" w:hAnsi="黑体" w:eastAsia="黑体" w:cs="黑体"/>
        </w:rPr>
        <w:t>课程要求和考试比例</w:t>
      </w:r>
    </w:p>
    <w:tbl>
      <w:tblPr>
        <w:tblStyle w:val="21"/>
        <w:tblW w:w="931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1860"/>
        <w:gridCol w:w="1710"/>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60"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课程名称</w:t>
            </w:r>
          </w:p>
        </w:tc>
        <w:tc>
          <w:tcPr>
            <w:tcW w:w="1860"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课程类型</w:t>
            </w:r>
          </w:p>
        </w:tc>
        <w:tc>
          <w:tcPr>
            <w:tcW w:w="1710"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选择范围</w:t>
            </w:r>
          </w:p>
        </w:tc>
        <w:tc>
          <w:tcPr>
            <w:tcW w:w="2083"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网络安全风险管理人员基本素质</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网络安全风险管理意识教育</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网络安全法律法规体系</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网络安全风险管理基础</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5</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网络安全风险管理基础（</w:t>
            </w:r>
            <w:r>
              <w:rPr>
                <w:rFonts w:hint="eastAsia" w:ascii="宋体" w:hAnsi="宋体" w:cs="宋体"/>
                <w:kern w:val="0"/>
                <w:sz w:val="18"/>
                <w:szCs w:val="18"/>
                <w:lang w:eastAsia="zh-CN"/>
              </w:rPr>
              <w:t>H</w:t>
            </w:r>
            <w:r>
              <w:rPr>
                <w:rFonts w:hint="eastAsia" w:ascii="宋体" w:hAnsi="宋体" w:eastAsia="宋体" w:cs="宋体"/>
                <w:kern w:val="0"/>
                <w:sz w:val="18"/>
                <w:szCs w:val="18"/>
              </w:rPr>
              <w:t>级）</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网络安全风险管理基础（</w:t>
            </w:r>
            <w:r>
              <w:rPr>
                <w:rFonts w:hint="eastAsia" w:ascii="宋体" w:hAnsi="宋体" w:cs="宋体"/>
                <w:kern w:val="0"/>
                <w:sz w:val="18"/>
                <w:szCs w:val="18"/>
                <w:lang w:eastAsia="zh-CN"/>
              </w:rPr>
              <w:t>HH</w:t>
            </w:r>
            <w:r>
              <w:rPr>
                <w:rFonts w:hint="eastAsia" w:ascii="宋体" w:hAnsi="宋体" w:eastAsia="宋体" w:cs="宋体"/>
                <w:kern w:val="0"/>
                <w:sz w:val="18"/>
                <w:szCs w:val="18"/>
              </w:rPr>
              <w:t>级）</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71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8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30</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kern w:val="0"/>
                <w:sz w:val="18"/>
                <w:szCs w:val="18"/>
              </w:rPr>
            </w:pPr>
            <w:r>
              <w:rPr>
                <w:rFonts w:hint="eastAsia"/>
                <w:kern w:val="0"/>
                <w:sz w:val="18"/>
                <w:szCs w:val="18"/>
              </w:rPr>
              <w:t>信息安全风险评估实施方法</w:t>
            </w:r>
          </w:p>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kern w:val="0"/>
                <w:sz w:val="18"/>
                <w:szCs w:val="18"/>
              </w:rPr>
              <w:t>（脆弱性、威胁、风险措施）</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710" w:type="dxa"/>
            <w:vAlign w:val="center"/>
          </w:tcPr>
          <w:p>
            <w:pPr>
              <w:pStyle w:val="51"/>
              <w:ind w:firstLine="0" w:firstLineChars="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全部</w:t>
            </w:r>
          </w:p>
        </w:tc>
        <w:tc>
          <w:tcPr>
            <w:tcW w:w="2083" w:type="dxa"/>
            <w:vAlign w:val="center"/>
          </w:tcPr>
          <w:p>
            <w:pPr>
              <w:pStyle w:val="51"/>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60" w:type="dxa"/>
            <w:vAlign w:val="center"/>
          </w:tcPr>
          <w:p>
            <w:pPr>
              <w:pStyle w:val="51"/>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kern w:val="0"/>
                <w:sz w:val="18"/>
                <w:szCs w:val="18"/>
              </w:rPr>
              <w:t>信息安全风险评估案例分析</w:t>
            </w:r>
          </w:p>
        </w:tc>
        <w:tc>
          <w:tcPr>
            <w:tcW w:w="186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710" w:type="dxa"/>
            <w:vAlign w:val="center"/>
          </w:tcPr>
          <w:p>
            <w:pPr>
              <w:pStyle w:val="51"/>
              <w:ind w:firstLine="0" w:firstLineChars="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全部</w:t>
            </w:r>
          </w:p>
        </w:tc>
        <w:tc>
          <w:tcPr>
            <w:tcW w:w="2083" w:type="dxa"/>
            <w:vAlign w:val="center"/>
          </w:tcPr>
          <w:p>
            <w:pPr>
              <w:pStyle w:val="51"/>
              <w:ind w:firstLine="0" w:firstLineChars="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bl>
    <w:p>
      <w:pPr>
        <w:pStyle w:val="51"/>
        <w:keepNext w:val="0"/>
        <w:keepLines w:val="0"/>
        <w:pageBreakBefore w:val="0"/>
        <w:widowControl w:val="0"/>
        <w:kinsoku/>
        <w:wordWrap/>
        <w:overflowPunct/>
        <w:topLinePunct w:val="0"/>
        <w:autoSpaceDE/>
        <w:autoSpaceDN/>
        <w:bidi w:val="0"/>
        <w:adjustRightInd/>
        <w:snapToGrid/>
        <w:spacing w:before="160" w:beforeLines="50" w:line="360" w:lineRule="auto"/>
        <w:ind w:firstLine="0" w:firstLineChars="0"/>
        <w:textAlignment w:val="auto"/>
        <w:rPr>
          <w:rFonts w:hint="eastAsia" w:ascii="黑体" w:hAnsi="黑体" w:eastAsia="黑体" w:cs="黑体"/>
        </w:rPr>
      </w:pPr>
      <w:r>
        <w:rPr>
          <w:rFonts w:hint="eastAsia" w:ascii="黑体" w:hAnsi="黑体" w:eastAsia="黑体" w:cs="黑体"/>
          <w:lang w:val="en-US" w:eastAsia="zh-CN"/>
        </w:rPr>
        <w:t>C.3</w:t>
      </w:r>
      <w:r>
        <w:rPr>
          <w:rFonts w:hint="eastAsia" w:ascii="黑体" w:hAnsi="黑体" w:eastAsia="黑体" w:cs="黑体"/>
        </w:rPr>
        <w:t xml:space="preserve"> 各课程知识点要求</w:t>
      </w:r>
    </w:p>
    <w:p>
      <w:pPr>
        <w:pStyle w:val="51"/>
        <w:spacing w:after="156" w:afterLines="50" w:line="360" w:lineRule="auto"/>
        <w:ind w:left="0" w:leftChars="0" w:firstLine="0" w:firstLineChars="0"/>
        <w:rPr>
          <w:rFonts w:hint="eastAsia" w:ascii="黑体" w:hAnsi="黑体" w:eastAsia="黑体" w:cs="黑体"/>
        </w:rPr>
      </w:pPr>
      <w:r>
        <w:rPr>
          <w:rFonts w:hint="eastAsia" w:ascii="黑体" w:hAnsi="黑体" w:eastAsia="黑体" w:cs="黑体"/>
          <w:lang w:val="en-US" w:eastAsia="zh-CN"/>
        </w:rPr>
        <w:t>C.3.1</w:t>
      </w:r>
      <w:r>
        <w:rPr>
          <w:rFonts w:hint="eastAsia" w:ascii="黑体" w:hAnsi="黑体" w:eastAsia="黑体" w:cs="黑体"/>
        </w:rPr>
        <w:t xml:space="preserve"> 网络安全风险管理基础</w:t>
      </w:r>
    </w:p>
    <w:p>
      <w:pPr>
        <w:pStyle w:val="51"/>
        <w:spacing w:after="156" w:afterLines="50" w:line="36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C.2 </w:t>
      </w:r>
      <w:r>
        <w:rPr>
          <w:rFonts w:hint="eastAsia" w:ascii="黑体" w:hAnsi="黑体" w:eastAsia="黑体" w:cs="黑体"/>
        </w:rPr>
        <w:t>网络安全风险管理基础</w:t>
      </w:r>
      <w:r>
        <w:rPr>
          <w:rFonts w:hint="eastAsia" w:ascii="黑体" w:hAnsi="黑体" w:eastAsia="黑体" w:cs="黑体"/>
          <w:lang w:eastAsia="zh-CN"/>
        </w:rPr>
        <w:t>课程内容与要求</w:t>
      </w:r>
    </w:p>
    <w:tbl>
      <w:tblPr>
        <w:tblStyle w:val="21"/>
        <w:tblW w:w="937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37"/>
        <w:gridCol w:w="409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337"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093"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955" w:type="dxa"/>
            <w:vAlign w:val="center"/>
          </w:tcPr>
          <w:p>
            <w:pPr>
              <w:pStyle w:val="51"/>
              <w:spacing w:line="36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9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337"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职业素养</w:t>
            </w:r>
          </w:p>
        </w:tc>
        <w:tc>
          <w:tcPr>
            <w:tcW w:w="4093"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了解</w:t>
            </w:r>
            <w:r>
              <w:rPr>
                <w:rFonts w:hint="eastAsia" w:ascii="宋体" w:hAnsi="宋体" w:eastAsia="宋体" w:cs="宋体"/>
                <w:kern w:val="0"/>
                <w:sz w:val="18"/>
                <w:szCs w:val="18"/>
              </w:rPr>
              <w:t>从事网络安全风险管理工作必备的职业素养</w:t>
            </w:r>
          </w:p>
        </w:tc>
        <w:tc>
          <w:tcPr>
            <w:tcW w:w="2955" w:type="dxa"/>
            <w:vMerge w:val="restart"/>
            <w:vAlign w:val="center"/>
          </w:tcPr>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《中华人民共和国网络安全法》</w:t>
            </w:r>
          </w:p>
          <w:p>
            <w:pPr>
              <w:pStyle w:val="51"/>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《信息安全评测与风险评估》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9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337"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知识结构</w:t>
            </w:r>
          </w:p>
        </w:tc>
        <w:tc>
          <w:tcPr>
            <w:tcW w:w="409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理解从事网络安全风险管理工作的基础知识</w:t>
            </w:r>
          </w:p>
        </w:tc>
        <w:tc>
          <w:tcPr>
            <w:tcW w:w="2955" w:type="dxa"/>
            <w:vMerge w:val="continue"/>
            <w:vAlign w:val="center"/>
          </w:tcPr>
          <w:p>
            <w:pPr>
              <w:pStyle w:val="51"/>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90"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337"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工作技能</w:t>
            </w:r>
          </w:p>
        </w:tc>
        <w:tc>
          <w:tcPr>
            <w:tcW w:w="4093" w:type="dxa"/>
            <w:vAlign w:val="center"/>
          </w:tcPr>
          <w:p>
            <w:pPr>
              <w:pStyle w:val="51"/>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理解从事网络安全风险管理工作的基础技能</w:t>
            </w:r>
          </w:p>
        </w:tc>
        <w:tc>
          <w:tcPr>
            <w:tcW w:w="2955" w:type="dxa"/>
            <w:vMerge w:val="continue"/>
            <w:vAlign w:val="center"/>
          </w:tcPr>
          <w:p>
            <w:pPr>
              <w:pStyle w:val="51"/>
              <w:ind w:firstLine="0" w:firstLineChars="0"/>
              <w:jc w:val="center"/>
              <w:rPr>
                <w:rFonts w:hint="eastAsia" w:ascii="宋体" w:hAnsi="宋体" w:eastAsia="宋体" w:cs="宋体"/>
                <w:kern w:val="0"/>
                <w:sz w:val="18"/>
                <w:szCs w:val="18"/>
              </w:rPr>
            </w:pPr>
          </w:p>
        </w:tc>
      </w:tr>
    </w:tbl>
    <w:p>
      <w:pPr>
        <w:pStyle w:val="51"/>
        <w:ind w:left="380" w:firstLine="0" w:firstLineChars="0"/>
        <w:jc w:val="center"/>
      </w:pP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rPr>
      </w:pPr>
      <w:r>
        <w:rPr>
          <w:rFonts w:hint="eastAsia" w:ascii="黑体" w:hAnsi="黑体" w:eastAsia="黑体" w:cs="黑体"/>
          <w:lang w:val="en-US" w:eastAsia="zh-CN"/>
        </w:rPr>
        <w:t>C.3.2</w:t>
      </w:r>
      <w:r>
        <w:rPr>
          <w:rFonts w:hint="eastAsia" w:ascii="黑体" w:hAnsi="黑体" w:eastAsia="黑体" w:cs="黑体"/>
        </w:rPr>
        <w:t xml:space="preserve"> 信息安全风险评估的基础理念</w:t>
      </w:r>
    </w:p>
    <w:p>
      <w:pPr>
        <w:pStyle w:val="51"/>
        <w:spacing w:after="156" w:afterLines="50" w:line="36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C.3</w:t>
      </w:r>
      <w:r>
        <w:rPr>
          <w:rFonts w:hint="eastAsia" w:ascii="黑体" w:hAnsi="黑体" w:eastAsia="黑体" w:cs="黑体"/>
        </w:rPr>
        <w:t>信息安全风险评估的基础理念</w:t>
      </w:r>
      <w:r>
        <w:rPr>
          <w:rFonts w:hint="eastAsia" w:ascii="黑体" w:hAnsi="黑体" w:eastAsia="黑体" w:cs="黑体"/>
          <w:lang w:eastAsia="zh-CN"/>
        </w:rPr>
        <w:t>课程内容与要求</w:t>
      </w:r>
    </w:p>
    <w:tbl>
      <w:tblPr>
        <w:tblStyle w:val="21"/>
        <w:tblW w:w="937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798"/>
        <w:gridCol w:w="3686"/>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798"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3686"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961"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3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98" w:type="dxa"/>
            <w:noWrap w:val="0"/>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信息安全风险评估的基本概念</w:t>
            </w:r>
          </w:p>
        </w:tc>
        <w:tc>
          <w:tcPr>
            <w:tcW w:w="3686"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风险评估的的介绍、基本注意事项</w:t>
            </w:r>
          </w:p>
        </w:tc>
        <w:tc>
          <w:tcPr>
            <w:tcW w:w="2961" w:type="dxa"/>
            <w:vMerge w:val="restart"/>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《信息安全风险评估手册》（</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"https://book.jd.com/publish/%E6%9C%BA%E6%A2%B0%E5%B7%A5%E4%B8%9A%E5%87%BA%E7%89%88%E7%A4%BE_1.html" \t "https://item.jd.com/_blank" \o "机械工业出版社" </w:instrText>
            </w:r>
            <w:r>
              <w:rPr>
                <w:rFonts w:hint="eastAsia" w:ascii="宋体" w:hAnsi="宋体" w:eastAsia="宋体" w:cs="宋体"/>
                <w:sz w:val="18"/>
                <w:szCs w:val="18"/>
              </w:rPr>
              <w:fldChar w:fldCharType="separate"/>
            </w:r>
            <w:r>
              <w:rPr>
                <w:rFonts w:hint="eastAsia" w:ascii="宋体" w:hAnsi="宋体" w:eastAsia="宋体" w:cs="宋体"/>
                <w:kern w:val="0"/>
                <w:sz w:val="18"/>
                <w:szCs w:val="18"/>
              </w:rPr>
              <w:t>机械工业出版社</w:t>
            </w:r>
            <w:r>
              <w:rPr>
                <w:rFonts w:hint="eastAsia" w:ascii="宋体" w:hAnsi="宋体" w:eastAsia="宋体" w:cs="宋体"/>
                <w:kern w:val="0"/>
                <w:sz w:val="18"/>
                <w:szCs w:val="18"/>
              </w:rPr>
              <w:fldChar w:fldCharType="end"/>
            </w:r>
            <w:r>
              <w:rPr>
                <w:rFonts w:hint="eastAsia" w:ascii="宋体" w:hAnsi="宋体" w:eastAsia="宋体" w:cs="宋体"/>
                <w:kern w:val="0"/>
                <w:sz w:val="18"/>
                <w:szCs w:val="18"/>
              </w:rPr>
              <w:t>，</w:t>
            </w:r>
            <w:r>
              <w:rPr>
                <w:rFonts w:hint="eastAsia" w:ascii="宋体" w:hAnsi="宋体" w:cs="宋体"/>
                <w:kern w:val="0"/>
                <w:sz w:val="18"/>
                <w:szCs w:val="18"/>
                <w:lang w:eastAsia="zh-CN"/>
              </w:rPr>
              <w:t>H</w:t>
            </w:r>
            <w:r>
              <w:rPr>
                <w:rFonts w:hint="eastAsia" w:ascii="宋体" w:hAnsi="宋体" w:eastAsia="宋体" w:cs="宋体"/>
                <w:kern w:val="0"/>
                <w:sz w:val="18"/>
                <w:szCs w:val="18"/>
              </w:rPr>
              <w:t>SBN：9787111566052）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3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98" w:type="dxa"/>
            <w:noWrap w:val="0"/>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信息安全风险评估相关标准</w:t>
            </w:r>
          </w:p>
        </w:tc>
        <w:tc>
          <w:tcPr>
            <w:tcW w:w="3686" w:type="dxa"/>
            <w:noWrap w:val="0"/>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kern w:val="0"/>
                <w:sz w:val="18"/>
                <w:szCs w:val="18"/>
              </w:rPr>
            </w:pPr>
            <w:r>
              <w:rPr>
                <w:rFonts w:hint="eastAsia" w:ascii="宋体" w:hAnsi="宋体" w:cs="宋体"/>
                <w:kern w:val="0"/>
                <w:sz w:val="18"/>
                <w:szCs w:val="18"/>
                <w:lang w:eastAsia="zh-CN"/>
              </w:rPr>
              <w:t>了解</w:t>
            </w:r>
            <w:r>
              <w:rPr>
                <w:rFonts w:hint="eastAsia" w:ascii="宋体" w:hAnsi="宋体" w:eastAsia="宋体" w:cs="宋体"/>
                <w:kern w:val="0"/>
                <w:sz w:val="18"/>
                <w:szCs w:val="18"/>
              </w:rPr>
              <w:t>国际上通用的</w:t>
            </w:r>
            <w:r>
              <w:rPr>
                <w:rFonts w:hint="eastAsia" w:ascii="宋体" w:hAnsi="宋体" w:cs="宋体"/>
                <w:kern w:val="0"/>
                <w:sz w:val="18"/>
                <w:szCs w:val="18"/>
                <w:lang w:eastAsia="zh-CN"/>
              </w:rPr>
              <w:t>信息安全</w:t>
            </w:r>
            <w:r>
              <w:rPr>
                <w:rFonts w:hint="eastAsia" w:ascii="宋体" w:hAnsi="宋体" w:eastAsia="宋体" w:cs="宋体"/>
                <w:kern w:val="0"/>
                <w:sz w:val="18"/>
                <w:szCs w:val="18"/>
              </w:rPr>
              <w:t>风险评估标准以及国内的风险评估标准</w:t>
            </w:r>
          </w:p>
        </w:tc>
        <w:tc>
          <w:tcPr>
            <w:tcW w:w="2961" w:type="dxa"/>
            <w:vMerge w:val="continue"/>
            <w:noWrap w:val="0"/>
            <w:vAlign w:val="center"/>
          </w:tcPr>
          <w:p>
            <w:pPr>
              <w:pStyle w:val="29"/>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98" w:type="dxa"/>
            <w:noWrap w:val="0"/>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信息安全风险评估的发展与现状</w:t>
            </w:r>
          </w:p>
        </w:tc>
        <w:tc>
          <w:tcPr>
            <w:tcW w:w="3686" w:type="dxa"/>
            <w:noWrap w:val="0"/>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kern w:val="0"/>
                <w:sz w:val="18"/>
                <w:szCs w:val="18"/>
              </w:rPr>
            </w:pPr>
            <w:r>
              <w:rPr>
                <w:rFonts w:hint="eastAsia" w:ascii="宋体" w:hAnsi="宋体" w:cs="宋体"/>
                <w:kern w:val="0"/>
                <w:sz w:val="18"/>
                <w:szCs w:val="18"/>
                <w:lang w:eastAsia="zh-CN"/>
              </w:rPr>
              <w:t>了解</w:t>
            </w:r>
            <w:r>
              <w:rPr>
                <w:rFonts w:hint="eastAsia" w:ascii="宋体" w:hAnsi="宋体" w:eastAsia="宋体" w:cs="宋体"/>
                <w:kern w:val="0"/>
                <w:sz w:val="18"/>
                <w:szCs w:val="18"/>
              </w:rPr>
              <w:t>国内信息安全风险评估的发展、现状</w:t>
            </w:r>
          </w:p>
        </w:tc>
        <w:tc>
          <w:tcPr>
            <w:tcW w:w="2961" w:type="dxa"/>
            <w:vMerge w:val="continue"/>
            <w:noWrap w:val="0"/>
            <w:vAlign w:val="center"/>
          </w:tcPr>
          <w:p>
            <w:pPr>
              <w:pStyle w:val="29"/>
              <w:ind w:firstLine="0" w:firstLineChars="0"/>
              <w:jc w:val="both"/>
              <w:rPr>
                <w:rFonts w:hint="eastAsia" w:ascii="宋体" w:hAnsi="宋体" w:eastAsia="宋体" w:cs="宋体"/>
                <w:kern w:val="0"/>
                <w:sz w:val="18"/>
                <w:szCs w:val="18"/>
              </w:rPr>
            </w:pPr>
          </w:p>
        </w:tc>
      </w:tr>
    </w:tbl>
    <w:p>
      <w:pPr>
        <w:pStyle w:val="53"/>
        <w:keepNext w:val="0"/>
        <w:keepLines w:val="0"/>
        <w:pageBreakBefore w:val="0"/>
        <w:widowControl w:val="0"/>
        <w:kinsoku/>
        <w:wordWrap/>
        <w:overflowPunct/>
        <w:topLinePunct w:val="0"/>
        <w:autoSpaceDE/>
        <w:autoSpaceDN/>
        <w:bidi w:val="0"/>
        <w:adjustRightInd w:val="0"/>
        <w:snapToGrid w:val="0"/>
        <w:spacing w:after="160" w:afterLines="50"/>
        <w:ind w:left="159" w:leftChars="0" w:hanging="159" w:hangingChars="76"/>
        <w:textAlignment w:val="auto"/>
        <w:rPr>
          <w:rFonts w:hint="eastAsia" w:ascii="黑体" w:hAnsi="黑体" w:eastAsia="黑体" w:cs="黑体"/>
          <w:color w:val="000000"/>
        </w:rPr>
      </w:pPr>
    </w:p>
    <w:p>
      <w:pPr>
        <w:pStyle w:val="29"/>
        <w:keepNext w:val="0"/>
        <w:keepLines w:val="0"/>
        <w:pageBreakBefore w:val="0"/>
        <w:widowControl w:val="0"/>
        <w:kinsoku/>
        <w:wordWrap/>
        <w:overflowPunct/>
        <w:topLinePunct w:val="0"/>
        <w:autoSpaceDE/>
        <w:autoSpaceDN/>
        <w:bidi w:val="0"/>
        <w:adjustRightInd w:val="0"/>
        <w:snapToGrid w:val="0"/>
        <w:spacing w:after="160" w:afterLines="50"/>
        <w:ind w:left="579" w:leftChars="0" w:hanging="579" w:hangingChars="276"/>
        <w:textAlignment w:val="auto"/>
        <w:rPr>
          <w:rFonts w:hint="eastAsia" w:ascii="黑体" w:hAnsi="黑体" w:eastAsia="黑体" w:cs="黑体"/>
        </w:rPr>
      </w:pPr>
      <w:r>
        <w:rPr>
          <w:rFonts w:hint="eastAsia" w:ascii="黑体" w:hAnsi="黑体" w:eastAsia="黑体" w:cs="黑体"/>
          <w:lang w:val="en-US" w:eastAsia="zh-CN"/>
        </w:rPr>
        <w:t>C.3.3</w:t>
      </w:r>
      <w:r>
        <w:rPr>
          <w:rFonts w:hint="eastAsia" w:ascii="黑体" w:hAnsi="黑体" w:eastAsia="黑体" w:cs="黑体"/>
        </w:rPr>
        <w:t xml:space="preserve"> 信息安全风险评估框架及流程</w:t>
      </w:r>
    </w:p>
    <w:p>
      <w:pPr>
        <w:pStyle w:val="29"/>
        <w:keepNext w:val="0"/>
        <w:keepLines w:val="0"/>
        <w:pageBreakBefore w:val="0"/>
        <w:widowControl w:val="0"/>
        <w:kinsoku/>
        <w:wordWrap/>
        <w:overflowPunct/>
        <w:topLinePunct w:val="0"/>
        <w:autoSpaceDE/>
        <w:autoSpaceDN/>
        <w:bidi w:val="0"/>
        <w:adjustRightInd w:val="0"/>
        <w:snapToGrid w:val="0"/>
        <w:spacing w:after="160" w:afterLines="50"/>
        <w:ind w:left="579" w:leftChars="0" w:hanging="579" w:hangingChars="276"/>
        <w:jc w:val="center"/>
        <w:textAlignment w:val="auto"/>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C.4 </w:t>
      </w:r>
      <w:r>
        <w:rPr>
          <w:rFonts w:hint="eastAsia" w:ascii="黑体" w:hAnsi="黑体" w:eastAsia="黑体" w:cs="黑体"/>
        </w:rPr>
        <w:t>信息安全风险评估框架及流程</w:t>
      </w:r>
      <w:r>
        <w:rPr>
          <w:rFonts w:hint="eastAsia" w:ascii="黑体" w:hAnsi="黑体" w:eastAsia="黑体" w:cs="黑体"/>
          <w:lang w:eastAsia="zh-CN"/>
        </w:rPr>
        <w:t>内容与要求</w:t>
      </w:r>
    </w:p>
    <w:tbl>
      <w:tblPr>
        <w:tblStyle w:val="21"/>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812"/>
        <w:gridCol w:w="417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812"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174"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460"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812"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信息安全风险评估的主要内容</w:t>
            </w:r>
          </w:p>
        </w:tc>
        <w:tc>
          <w:tcPr>
            <w:tcW w:w="4174" w:type="dxa"/>
            <w:noWrap w:val="0"/>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风险评估的的依据、原则；风险评估基础模型、风险分析原理、风险评估方法介绍</w:t>
            </w:r>
          </w:p>
        </w:tc>
        <w:tc>
          <w:tcPr>
            <w:tcW w:w="2460" w:type="dxa"/>
            <w:vMerge w:val="restart"/>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《信息安全风险评估手册》（</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"https://book.jd.com/publish/%E6%9C%BA%E6%A2%B0%E5%B7%A5%E4%B8%9A%E5%87%BA%E7%89%88%E7%A4%BE_1.html" \t "https://item.jd.com/_blank" \o "机械工业出版社" </w:instrText>
            </w:r>
            <w:r>
              <w:rPr>
                <w:rFonts w:hint="eastAsia" w:ascii="宋体" w:hAnsi="宋体" w:eastAsia="宋体" w:cs="宋体"/>
                <w:sz w:val="18"/>
                <w:szCs w:val="18"/>
              </w:rPr>
              <w:fldChar w:fldCharType="separate"/>
            </w:r>
            <w:r>
              <w:rPr>
                <w:rFonts w:hint="eastAsia" w:ascii="宋体" w:hAnsi="宋体" w:eastAsia="宋体" w:cs="宋体"/>
                <w:kern w:val="0"/>
                <w:sz w:val="18"/>
                <w:szCs w:val="18"/>
              </w:rPr>
              <w:t>机械工业出版社</w:t>
            </w:r>
            <w:r>
              <w:rPr>
                <w:rFonts w:hint="eastAsia" w:ascii="宋体" w:hAnsi="宋体" w:eastAsia="宋体" w:cs="宋体"/>
                <w:kern w:val="0"/>
                <w:sz w:val="18"/>
                <w:szCs w:val="18"/>
              </w:rPr>
              <w:fldChar w:fldCharType="end"/>
            </w:r>
            <w:r>
              <w:rPr>
                <w:rFonts w:hint="eastAsia" w:ascii="宋体" w:hAnsi="宋体" w:eastAsia="宋体" w:cs="宋体"/>
                <w:kern w:val="0"/>
                <w:sz w:val="18"/>
                <w:szCs w:val="18"/>
              </w:rPr>
              <w:t>，</w:t>
            </w:r>
            <w:r>
              <w:rPr>
                <w:rFonts w:hint="eastAsia" w:ascii="宋体" w:hAnsi="宋体" w:cs="宋体"/>
                <w:kern w:val="0"/>
                <w:sz w:val="18"/>
                <w:szCs w:val="18"/>
                <w:lang w:eastAsia="zh-CN"/>
              </w:rPr>
              <w:t>H</w:t>
            </w:r>
            <w:r>
              <w:rPr>
                <w:rFonts w:hint="eastAsia" w:ascii="宋体" w:hAnsi="宋体" w:eastAsia="宋体" w:cs="宋体"/>
                <w:kern w:val="0"/>
                <w:sz w:val="18"/>
                <w:szCs w:val="18"/>
              </w:rPr>
              <w:t>SBN：9787111566052）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812"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信息系统生命周期各阶段的风险评估</w:t>
            </w:r>
          </w:p>
        </w:tc>
        <w:tc>
          <w:tcPr>
            <w:tcW w:w="4174"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掌握</w:t>
            </w:r>
            <w:r>
              <w:rPr>
                <w:rFonts w:hint="eastAsia" w:ascii="宋体" w:hAnsi="宋体" w:eastAsia="宋体" w:cs="宋体"/>
                <w:kern w:val="0"/>
                <w:sz w:val="18"/>
                <w:szCs w:val="18"/>
              </w:rPr>
              <w:t>信息系统规划、设计、实施、运维、废弃阶段的信息安全风险评估</w:t>
            </w:r>
          </w:p>
        </w:tc>
        <w:tc>
          <w:tcPr>
            <w:tcW w:w="2460" w:type="dxa"/>
            <w:vMerge w:val="continue"/>
            <w:noWrap w:val="0"/>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812"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风险评估管理工具及评估工具介绍</w:t>
            </w:r>
          </w:p>
        </w:tc>
        <w:tc>
          <w:tcPr>
            <w:tcW w:w="4174" w:type="dxa"/>
            <w:noWrap w:val="0"/>
            <w:vAlign w:val="center"/>
          </w:tcPr>
          <w:p>
            <w:pPr>
              <w:pStyle w:val="29"/>
              <w:ind w:firstLine="0" w:firstLineChars="0"/>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掌握</w:t>
            </w:r>
            <w:r>
              <w:rPr>
                <w:rFonts w:hint="eastAsia" w:ascii="宋体" w:hAnsi="宋体" w:eastAsia="宋体" w:cs="宋体"/>
                <w:kern w:val="0"/>
                <w:sz w:val="18"/>
                <w:szCs w:val="18"/>
              </w:rPr>
              <w:t>风险评估管理工具（MBSA、COBRA）、评估工具（极光远程安全评估系统、天镜脆弱性扫描与管理系统、KAL</w:t>
            </w:r>
            <w:r>
              <w:rPr>
                <w:rFonts w:hint="eastAsia" w:ascii="宋体" w:hAnsi="宋体" w:cs="宋体"/>
                <w:kern w:val="0"/>
                <w:sz w:val="18"/>
                <w:szCs w:val="18"/>
                <w:lang w:eastAsia="zh-CN"/>
              </w:rPr>
              <w:t>H</w:t>
            </w:r>
            <w:r>
              <w:rPr>
                <w:rFonts w:hint="eastAsia" w:ascii="宋体" w:hAnsi="宋体" w:eastAsia="宋体" w:cs="宋体"/>
                <w:kern w:val="0"/>
                <w:sz w:val="18"/>
                <w:szCs w:val="18"/>
              </w:rPr>
              <w:t>渗透测试工具）</w:t>
            </w:r>
            <w:r>
              <w:rPr>
                <w:rFonts w:hint="eastAsia" w:ascii="宋体" w:hAnsi="宋体" w:cs="宋体"/>
                <w:kern w:val="0"/>
                <w:sz w:val="18"/>
                <w:szCs w:val="18"/>
                <w:lang w:eastAsia="zh-CN"/>
              </w:rPr>
              <w:t>使用方法。</w:t>
            </w:r>
          </w:p>
        </w:tc>
        <w:tc>
          <w:tcPr>
            <w:tcW w:w="2460" w:type="dxa"/>
            <w:vMerge w:val="continue"/>
            <w:noWrap w:val="0"/>
            <w:vAlign w:val="center"/>
          </w:tcPr>
          <w:p>
            <w:pPr>
              <w:pStyle w:val="29"/>
              <w:ind w:firstLine="0" w:firstLineChars="0"/>
              <w:jc w:val="center"/>
              <w:rPr>
                <w:rFonts w:hint="eastAsia" w:ascii="宋体" w:hAnsi="宋体" w:eastAsia="宋体" w:cs="宋体"/>
                <w:kern w:val="0"/>
                <w:sz w:val="18"/>
                <w:szCs w:val="18"/>
              </w:rPr>
            </w:pPr>
          </w:p>
        </w:tc>
      </w:tr>
    </w:tbl>
    <w:p>
      <w:pPr>
        <w:pStyle w:val="29"/>
        <w:ind w:left="380" w:firstLine="0" w:firstLineChars="0"/>
        <w:rPr>
          <w:rFonts w:hint="eastAsia" w:ascii="宋体" w:hAnsi="宋体" w:eastAsia="宋体"/>
        </w:rPr>
      </w:pP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rPr>
      </w:pPr>
      <w:r>
        <w:rPr>
          <w:rFonts w:hint="eastAsia" w:ascii="黑体" w:hAnsi="黑体" w:eastAsia="黑体" w:cs="黑体"/>
          <w:lang w:val="en-US" w:eastAsia="zh-CN"/>
        </w:rPr>
        <w:t>C.3.4</w:t>
      </w:r>
      <w:r>
        <w:rPr>
          <w:rFonts w:hint="eastAsia" w:ascii="黑体" w:hAnsi="黑体" w:eastAsia="黑体" w:cs="黑体"/>
        </w:rPr>
        <w:t xml:space="preserve"> 信息安全风险评估实施方法</w:t>
      </w: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lang w:val="en-US" w:eastAsia="zh-CN"/>
        </w:rPr>
        <w:t xml:space="preserve">表C.4 </w:t>
      </w:r>
      <w:r>
        <w:rPr>
          <w:rFonts w:hint="eastAsia" w:ascii="黑体" w:hAnsi="黑体" w:eastAsia="黑体" w:cs="黑体"/>
        </w:rPr>
        <w:t xml:space="preserve"> 信息安全风险评估实施方法</w:t>
      </w:r>
      <w:r>
        <w:rPr>
          <w:rFonts w:hint="eastAsia" w:ascii="黑体" w:hAnsi="黑体" w:eastAsia="黑体" w:cs="黑体"/>
          <w:lang w:eastAsia="zh-CN"/>
        </w:rPr>
        <w:t>内容与要求</w:t>
      </w:r>
    </w:p>
    <w:tbl>
      <w:tblPr>
        <w:tblStyle w:val="21"/>
        <w:tblW w:w="0" w:type="auto"/>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57"/>
        <w:gridCol w:w="415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857"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159"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460" w:type="dxa"/>
            <w:noWrap w:val="0"/>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857"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信息安全风险实施1</w:t>
            </w:r>
          </w:p>
        </w:tc>
        <w:tc>
          <w:tcPr>
            <w:tcW w:w="4159" w:type="dxa"/>
            <w:noWrap w:val="0"/>
            <w:vAlign w:val="center"/>
          </w:tcPr>
          <w:p>
            <w:pPr>
              <w:jc w:val="both"/>
              <w:rPr>
                <w:rFonts w:hint="eastAsia" w:ascii="宋体" w:hAnsi="宋体" w:eastAsia="宋体" w:cs="宋体"/>
                <w:kern w:val="0"/>
                <w:sz w:val="18"/>
                <w:szCs w:val="18"/>
              </w:rPr>
            </w:pPr>
            <w:r>
              <w:rPr>
                <w:rFonts w:hint="eastAsia" w:ascii="宋体" w:hAnsi="宋体" w:eastAsia="宋体" w:cs="宋体"/>
                <w:kern w:val="0"/>
                <w:sz w:val="18"/>
                <w:szCs w:val="18"/>
              </w:rPr>
              <w:t>资产识别（资产分类、资产赋值）、威胁识别（威胁分类、威胁赋值）、脆弱性识别（脆弱性识别、脆弱性赋值）</w:t>
            </w:r>
          </w:p>
        </w:tc>
        <w:tc>
          <w:tcPr>
            <w:tcW w:w="2460" w:type="dxa"/>
            <w:vMerge w:val="restart"/>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《信息安全风险评估手册》（</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"https://book.jd.com/publish/%E6%9C%BA%E6%A2%B0%E5%B7%A5%E4%B8%9A%E5%87%BA%E7%89%88%E7%A4%BE_1.html" \t "https://item.jd.com/_blank" \o "机械工业出版社" </w:instrText>
            </w:r>
            <w:r>
              <w:rPr>
                <w:rFonts w:hint="eastAsia" w:ascii="宋体" w:hAnsi="宋体" w:eastAsia="宋体" w:cs="宋体"/>
                <w:sz w:val="18"/>
                <w:szCs w:val="18"/>
              </w:rPr>
              <w:fldChar w:fldCharType="separate"/>
            </w:r>
            <w:r>
              <w:rPr>
                <w:rFonts w:hint="eastAsia" w:ascii="宋体" w:hAnsi="宋体" w:eastAsia="宋体" w:cs="宋体"/>
                <w:kern w:val="0"/>
                <w:sz w:val="18"/>
                <w:szCs w:val="18"/>
              </w:rPr>
              <w:t>机械工业出版社</w:t>
            </w:r>
            <w:r>
              <w:rPr>
                <w:rFonts w:hint="eastAsia" w:ascii="宋体" w:hAnsi="宋体" w:eastAsia="宋体" w:cs="宋体"/>
                <w:kern w:val="0"/>
                <w:sz w:val="18"/>
                <w:szCs w:val="18"/>
              </w:rPr>
              <w:fldChar w:fldCharType="end"/>
            </w:r>
            <w:r>
              <w:rPr>
                <w:rFonts w:hint="eastAsia" w:ascii="宋体" w:hAnsi="宋体" w:eastAsia="宋体" w:cs="宋体"/>
                <w:kern w:val="0"/>
                <w:sz w:val="18"/>
                <w:szCs w:val="18"/>
              </w:rPr>
              <w:t>，</w:t>
            </w:r>
            <w:r>
              <w:rPr>
                <w:rFonts w:hint="eastAsia" w:ascii="宋体" w:hAnsi="宋体" w:cs="宋体"/>
                <w:kern w:val="0"/>
                <w:sz w:val="18"/>
                <w:szCs w:val="18"/>
                <w:lang w:eastAsia="zh-CN"/>
              </w:rPr>
              <w:t>H</w:t>
            </w:r>
            <w:r>
              <w:rPr>
                <w:rFonts w:hint="eastAsia" w:ascii="宋体" w:hAnsi="宋体" w:eastAsia="宋体" w:cs="宋体"/>
                <w:kern w:val="0"/>
                <w:sz w:val="18"/>
                <w:szCs w:val="18"/>
              </w:rPr>
              <w:t>SBN：9787111566052）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857"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信息安全风险实施2</w:t>
            </w:r>
          </w:p>
        </w:tc>
        <w:tc>
          <w:tcPr>
            <w:tcW w:w="4159" w:type="dxa"/>
            <w:noWrap w:val="0"/>
            <w:vAlign w:val="center"/>
          </w:tcPr>
          <w:p>
            <w:pPr>
              <w:pStyle w:val="29"/>
              <w:ind w:firstLine="0" w:firstLineChars="0"/>
              <w:jc w:val="both"/>
              <w:rPr>
                <w:rFonts w:hint="eastAsia" w:ascii="宋体" w:hAnsi="宋体" w:eastAsia="宋体" w:cs="宋体"/>
                <w:kern w:val="0"/>
                <w:sz w:val="18"/>
                <w:szCs w:val="18"/>
                <w:lang w:eastAsia="zh-CN"/>
              </w:rPr>
            </w:pPr>
            <w:r>
              <w:rPr>
                <w:rFonts w:hint="eastAsia" w:ascii="宋体" w:hAnsi="宋体" w:eastAsia="宋体" w:cs="宋体"/>
                <w:kern w:val="0"/>
                <w:sz w:val="18"/>
                <w:szCs w:val="18"/>
              </w:rPr>
              <w:t>确认已有安全措施，对识别的风险进行分析，风险计算原理，风险结果判定，制定风险处置计划</w:t>
            </w:r>
            <w:r>
              <w:rPr>
                <w:rFonts w:hint="eastAsia" w:ascii="宋体" w:hAnsi="宋体" w:cs="宋体"/>
                <w:kern w:val="0"/>
                <w:sz w:val="18"/>
                <w:szCs w:val="18"/>
                <w:lang w:eastAsia="zh-CN"/>
              </w:rPr>
              <w:t>。</w:t>
            </w:r>
          </w:p>
        </w:tc>
        <w:tc>
          <w:tcPr>
            <w:tcW w:w="2460" w:type="dxa"/>
            <w:vMerge w:val="continue"/>
            <w:noWrap w:val="0"/>
            <w:vAlign w:val="center"/>
          </w:tcPr>
          <w:p>
            <w:pPr>
              <w:pStyle w:val="29"/>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857"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信息安全风险报告编制</w:t>
            </w:r>
          </w:p>
        </w:tc>
        <w:tc>
          <w:tcPr>
            <w:tcW w:w="4159"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cs="宋体"/>
                <w:kern w:val="0"/>
                <w:sz w:val="18"/>
                <w:szCs w:val="18"/>
                <w:lang w:eastAsia="zh-CN"/>
              </w:rPr>
              <w:t>掌握</w:t>
            </w:r>
            <w:r>
              <w:rPr>
                <w:rFonts w:hint="eastAsia" w:ascii="宋体" w:hAnsi="宋体" w:eastAsia="宋体" w:cs="宋体"/>
                <w:kern w:val="0"/>
                <w:sz w:val="18"/>
                <w:szCs w:val="18"/>
              </w:rPr>
              <w:t>风险评估记录方法</w:t>
            </w:r>
            <w:r>
              <w:rPr>
                <w:rFonts w:hint="eastAsia" w:ascii="宋体" w:hAnsi="宋体" w:cs="宋体"/>
                <w:kern w:val="0"/>
                <w:sz w:val="18"/>
                <w:szCs w:val="18"/>
                <w:lang w:eastAsia="zh-CN"/>
              </w:rPr>
              <w:t>，</w:t>
            </w:r>
            <w:r>
              <w:rPr>
                <w:rFonts w:hint="eastAsia" w:ascii="宋体" w:hAnsi="宋体" w:eastAsia="宋体" w:cs="宋体"/>
                <w:kern w:val="0"/>
                <w:sz w:val="18"/>
                <w:szCs w:val="18"/>
              </w:rPr>
              <w:t>风险评估工作形式（自评估、检查评估），风险计算方法（矩阵法计算风险、相乘法计算风险）</w:t>
            </w:r>
          </w:p>
        </w:tc>
        <w:tc>
          <w:tcPr>
            <w:tcW w:w="2460" w:type="dxa"/>
            <w:vMerge w:val="continue"/>
            <w:noWrap w:val="0"/>
            <w:vAlign w:val="center"/>
          </w:tcPr>
          <w:p>
            <w:pPr>
              <w:pStyle w:val="29"/>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90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857"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风险评估辅助工具使用</w:t>
            </w:r>
          </w:p>
        </w:tc>
        <w:tc>
          <w:tcPr>
            <w:tcW w:w="4159"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风险评估资产调研表、人员访谈模板、基线检查模板、风险评估工作申请单、项目计划及会议纪要</w:t>
            </w:r>
          </w:p>
        </w:tc>
        <w:tc>
          <w:tcPr>
            <w:tcW w:w="2460" w:type="dxa"/>
            <w:vMerge w:val="continue"/>
            <w:noWrap w:val="0"/>
            <w:vAlign w:val="center"/>
          </w:tcPr>
          <w:p>
            <w:pPr>
              <w:pStyle w:val="29"/>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0"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857" w:type="dxa"/>
            <w:noWrap w:val="0"/>
            <w:vAlign w:val="center"/>
          </w:tcPr>
          <w:p>
            <w:pPr>
              <w:pStyle w:val="29"/>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风险评估脆弱性识别工具使用</w:t>
            </w:r>
          </w:p>
        </w:tc>
        <w:tc>
          <w:tcPr>
            <w:tcW w:w="4159" w:type="dxa"/>
            <w:noWrap w:val="0"/>
            <w:vAlign w:val="center"/>
          </w:tcPr>
          <w:p>
            <w:pPr>
              <w:pStyle w:val="29"/>
              <w:ind w:firstLine="0" w:firstLineChars="0"/>
              <w:jc w:val="both"/>
              <w:rPr>
                <w:rFonts w:hint="eastAsia" w:ascii="宋体" w:hAnsi="宋体" w:eastAsia="宋体" w:cs="宋体"/>
                <w:kern w:val="0"/>
                <w:sz w:val="18"/>
                <w:szCs w:val="18"/>
                <w:lang w:eastAsia="zh-CN"/>
              </w:rPr>
            </w:pPr>
            <w:r>
              <w:rPr>
                <w:rFonts w:hint="eastAsia" w:ascii="宋体" w:hAnsi="宋体" w:cs="宋体"/>
                <w:kern w:val="0"/>
                <w:sz w:val="18"/>
                <w:szCs w:val="18"/>
                <w:lang w:eastAsia="zh-CN"/>
              </w:rPr>
              <w:t>掌握</w:t>
            </w:r>
            <w:r>
              <w:rPr>
                <w:rFonts w:hint="eastAsia" w:ascii="宋体" w:hAnsi="宋体" w:eastAsia="宋体" w:cs="宋体"/>
                <w:kern w:val="0"/>
                <w:sz w:val="18"/>
                <w:szCs w:val="18"/>
              </w:rPr>
              <w:t>极光远程安全评估系统、天镜脆弱性扫描与管理系统、KAL</w:t>
            </w:r>
            <w:r>
              <w:rPr>
                <w:rFonts w:hint="eastAsia" w:ascii="宋体" w:hAnsi="宋体" w:cs="宋体"/>
                <w:kern w:val="0"/>
                <w:sz w:val="18"/>
                <w:szCs w:val="18"/>
                <w:lang w:eastAsia="zh-CN"/>
              </w:rPr>
              <w:t>H</w:t>
            </w:r>
            <w:r>
              <w:rPr>
                <w:rFonts w:hint="eastAsia" w:ascii="宋体" w:hAnsi="宋体" w:eastAsia="宋体" w:cs="宋体"/>
                <w:kern w:val="0"/>
                <w:sz w:val="18"/>
                <w:szCs w:val="18"/>
              </w:rPr>
              <w:t>渗透测试等工具使用</w:t>
            </w:r>
            <w:r>
              <w:rPr>
                <w:rFonts w:hint="eastAsia" w:ascii="宋体" w:hAnsi="宋体" w:cs="宋体"/>
                <w:kern w:val="0"/>
                <w:sz w:val="18"/>
                <w:szCs w:val="18"/>
                <w:lang w:eastAsia="zh-CN"/>
              </w:rPr>
              <w:t>方法。</w:t>
            </w:r>
          </w:p>
        </w:tc>
        <w:tc>
          <w:tcPr>
            <w:tcW w:w="2460" w:type="dxa"/>
            <w:vMerge w:val="continue"/>
            <w:noWrap w:val="0"/>
            <w:vAlign w:val="center"/>
          </w:tcPr>
          <w:p>
            <w:pPr>
              <w:pStyle w:val="29"/>
              <w:ind w:firstLine="0" w:firstLineChars="0"/>
              <w:jc w:val="both"/>
              <w:rPr>
                <w:rFonts w:hint="eastAsia" w:ascii="宋体" w:hAnsi="宋体" w:eastAsia="宋体" w:cs="宋体"/>
                <w:kern w:val="0"/>
                <w:sz w:val="18"/>
                <w:szCs w:val="18"/>
              </w:rPr>
            </w:pPr>
          </w:p>
        </w:tc>
      </w:tr>
    </w:tbl>
    <w:p>
      <w:pPr>
        <w:pStyle w:val="29"/>
        <w:ind w:left="380" w:firstLine="0" w:firstLineChars="0"/>
        <w:rPr>
          <w:rFonts w:ascii="宋体" w:hAnsi="宋体" w:eastAsia="宋体"/>
        </w:rPr>
      </w:pPr>
    </w:p>
    <w:p>
      <w:pPr>
        <w:pStyle w:val="53"/>
        <w:keepNext w:val="0"/>
        <w:keepLines w:val="0"/>
        <w:pageBreakBefore w:val="0"/>
        <w:widowControl w:val="0"/>
        <w:kinsoku/>
        <w:wordWrap/>
        <w:overflowPunct/>
        <w:topLinePunct w:val="0"/>
        <w:autoSpaceDE/>
        <w:autoSpaceDN/>
        <w:bidi w:val="0"/>
        <w:adjustRightInd w:val="0"/>
        <w:snapToGrid w:val="0"/>
        <w:spacing w:after="160" w:afterLines="50"/>
        <w:ind w:left="159" w:leftChars="0" w:hanging="159" w:hangingChars="76"/>
        <w:textAlignment w:val="auto"/>
        <w:rPr>
          <w:rFonts w:ascii="宋体" w:hAnsi="宋体"/>
          <w:color w:val="000000"/>
        </w:rPr>
      </w:pPr>
      <w:r>
        <w:rPr>
          <w:rFonts w:hint="eastAsia" w:ascii="黑体" w:hAnsi="黑体" w:eastAsia="黑体" w:cs="黑体"/>
          <w:lang w:val="en-US" w:eastAsia="zh-CN"/>
        </w:rPr>
        <w:t>C.3.5</w:t>
      </w:r>
      <w:r>
        <w:rPr>
          <w:rFonts w:hint="eastAsia" w:ascii="黑体" w:hAnsi="黑体" w:eastAsia="黑体" w:cs="黑体"/>
        </w:rPr>
        <w:t xml:space="preserve"> </w:t>
      </w:r>
      <w:r>
        <w:rPr>
          <w:rFonts w:hint="eastAsia" w:ascii="黑体" w:hAnsi="黑体" w:eastAsia="黑体" w:cs="黑体"/>
          <w:color w:val="000000"/>
        </w:rPr>
        <w:t>网络安全风险防范</w:t>
      </w: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C.5</w:t>
      </w:r>
      <w:r>
        <w:rPr>
          <w:rFonts w:hint="eastAsia" w:ascii="黑体" w:hAnsi="黑体" w:eastAsia="黑体" w:cs="黑体"/>
          <w:color w:val="000000"/>
        </w:rPr>
        <w:t>网络安全风险防范</w:t>
      </w:r>
      <w:r>
        <w:rPr>
          <w:rFonts w:hint="eastAsia" w:ascii="黑体" w:hAnsi="黑体" w:eastAsia="黑体" w:cs="黑体"/>
          <w:color w:val="000000"/>
          <w:lang w:eastAsia="zh-CN"/>
        </w:rPr>
        <w:t>内容与要求</w:t>
      </w:r>
    </w:p>
    <w:tbl>
      <w:tblPr>
        <w:tblStyle w:val="21"/>
        <w:tblW w:w="931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978"/>
        <w:gridCol w:w="388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22" w:type="dxa"/>
            <w:vAlign w:val="center"/>
          </w:tcPr>
          <w:p>
            <w:pPr>
              <w:pStyle w:val="53"/>
              <w:keepNext w:val="0"/>
              <w:keepLines w:val="0"/>
              <w:pageBreakBefore w:val="0"/>
              <w:widowControl w:val="0"/>
              <w:kinsoku/>
              <w:wordWrap/>
              <w:overflowPunct/>
              <w:topLinePunct w:val="0"/>
              <w:autoSpaceDE/>
              <w:autoSpaceDN/>
              <w:bidi w:val="0"/>
              <w:adjustRightInd w:val="0"/>
              <w:snapToGrid w:val="0"/>
              <w:ind w:left="159" w:leftChars="0" w:hanging="159" w:hangingChars="76"/>
              <w:jc w:val="center"/>
              <w:textAlignment w:val="auto"/>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章节号</w:t>
            </w:r>
          </w:p>
        </w:tc>
        <w:tc>
          <w:tcPr>
            <w:tcW w:w="1978"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章节名</w:t>
            </w:r>
          </w:p>
        </w:tc>
        <w:tc>
          <w:tcPr>
            <w:tcW w:w="3887"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内容与要求</w:t>
            </w:r>
          </w:p>
        </w:tc>
        <w:tc>
          <w:tcPr>
            <w:tcW w:w="2428"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978"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信息系统安全风险说明</w:t>
            </w:r>
          </w:p>
        </w:tc>
        <w:tc>
          <w:tcPr>
            <w:tcW w:w="3887" w:type="dxa"/>
            <w:vAlign w:val="center"/>
          </w:tcPr>
          <w:p>
            <w:pPr>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信息系统的安全属性，安全风险要素，风险评估与控制模型</w:t>
            </w:r>
            <w:r>
              <w:rPr>
                <w:rFonts w:hint="eastAsia" w:ascii="宋体" w:hAnsi="宋体" w:eastAsia="宋体" w:cs="宋体"/>
                <w:kern w:val="0"/>
                <w:sz w:val="18"/>
                <w:szCs w:val="18"/>
                <w:lang w:eastAsia="zh-CN"/>
              </w:rPr>
              <w:t>。</w:t>
            </w:r>
          </w:p>
        </w:tc>
        <w:tc>
          <w:tcPr>
            <w:tcW w:w="2428" w:type="dxa"/>
            <w:vMerge w:val="restart"/>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《网络安全风险估计与控制理论》、《网络安全与管理》、 《信息安全管理与风险评估》（网络空间安全技术丛书）、《网络安全意识导论》（网络安全攻防技术</w:t>
            </w:r>
            <w:r>
              <w:rPr>
                <w:rFonts w:hint="eastAsia" w:ascii="宋体" w:hAnsi="宋体" w:cs="宋体"/>
                <w:kern w:val="0"/>
                <w:sz w:val="18"/>
                <w:szCs w:val="18"/>
                <w:lang w:eastAsia="zh-CN"/>
              </w:rPr>
              <w:t>》《</w:t>
            </w:r>
            <w:r>
              <w:rPr>
                <w:rFonts w:hint="eastAsia" w:ascii="宋体" w:hAnsi="宋体" w:eastAsia="宋体" w:cs="宋体"/>
                <w:kern w:val="0"/>
                <w:sz w:val="18"/>
                <w:szCs w:val="18"/>
              </w:rPr>
              <w:t>网络安全管理常用技术</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网络安全风险识别</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网络安全测试系统</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网络空间安全内网攻击防御</w:t>
            </w:r>
            <w:r>
              <w:rPr>
                <w:rFonts w:hint="eastAsia" w:ascii="宋体" w:hAnsi="宋体" w:cs="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978"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信息系统资源分布模型及基于信息资产的风险识别与分析</w:t>
            </w:r>
          </w:p>
        </w:tc>
        <w:tc>
          <w:tcPr>
            <w:tcW w:w="3887" w:type="dxa"/>
            <w:vAlign w:val="center"/>
          </w:tcPr>
          <w:p>
            <w:pPr>
              <w:pStyle w:val="53"/>
              <w:ind w:firstLine="0" w:firstLine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信息网络安全风险识别过程，信息网络系统的威胁识别，信息系统的脆弱性识别，信息系统的风险分析</w:t>
            </w:r>
            <w:r>
              <w:rPr>
                <w:rFonts w:hint="eastAsia" w:ascii="宋体" w:hAnsi="宋体" w:cs="宋体"/>
                <w:kern w:val="0"/>
                <w:sz w:val="18"/>
                <w:szCs w:val="18"/>
                <w:lang w:eastAsia="zh-CN"/>
              </w:rPr>
              <w:t>。</w:t>
            </w:r>
          </w:p>
        </w:tc>
        <w:tc>
          <w:tcPr>
            <w:tcW w:w="2428"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978"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网络安全机制设计</w:t>
            </w:r>
          </w:p>
        </w:tc>
        <w:tc>
          <w:tcPr>
            <w:tcW w:w="3887"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网络安全攻防，安全等设计方法。</w:t>
            </w:r>
          </w:p>
        </w:tc>
        <w:tc>
          <w:tcPr>
            <w:tcW w:w="2428"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978"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网络安全访问控制策略设计</w:t>
            </w:r>
          </w:p>
        </w:tc>
        <w:tc>
          <w:tcPr>
            <w:tcW w:w="3887"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网络安全访问控制策略的特点，理解当前网络安全访问控制策略的设计。</w:t>
            </w:r>
          </w:p>
        </w:tc>
        <w:tc>
          <w:tcPr>
            <w:tcW w:w="2428"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978"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网络云端安全设计</w:t>
            </w:r>
          </w:p>
        </w:tc>
        <w:tc>
          <w:tcPr>
            <w:tcW w:w="3887"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网络安全云端安全机制，理解云计算云服务上的安全策略设计。</w:t>
            </w:r>
          </w:p>
        </w:tc>
        <w:tc>
          <w:tcPr>
            <w:tcW w:w="2428" w:type="dxa"/>
            <w:vMerge w:val="continue"/>
            <w:vAlign w:val="center"/>
          </w:tcPr>
          <w:p>
            <w:pPr>
              <w:pStyle w:val="53"/>
              <w:ind w:firstLine="0" w:firstLineChars="0"/>
              <w:jc w:val="both"/>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2" w:type="dxa"/>
            <w:vAlign w:val="center"/>
          </w:tcPr>
          <w:p>
            <w:pPr>
              <w:pStyle w:val="53"/>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978" w:type="dxa"/>
            <w:vAlign w:val="center"/>
          </w:tcPr>
          <w:p>
            <w:pPr>
              <w:pStyle w:val="53"/>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网络安全系统实现</w:t>
            </w:r>
          </w:p>
        </w:tc>
        <w:tc>
          <w:tcPr>
            <w:tcW w:w="3887" w:type="dxa"/>
            <w:vAlign w:val="center"/>
          </w:tcPr>
          <w:p>
            <w:pPr>
              <w:pStyle w:val="53"/>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网络安全系统设计流程，理解安全平台使用的各种安全机制及其实施。</w:t>
            </w:r>
          </w:p>
        </w:tc>
        <w:tc>
          <w:tcPr>
            <w:tcW w:w="2428" w:type="dxa"/>
            <w:vMerge w:val="continue"/>
            <w:vAlign w:val="center"/>
          </w:tcPr>
          <w:p>
            <w:pPr>
              <w:pStyle w:val="53"/>
              <w:ind w:firstLine="0" w:firstLineChars="0"/>
              <w:jc w:val="both"/>
              <w:rPr>
                <w:rFonts w:hint="eastAsia" w:ascii="宋体" w:hAnsi="宋体" w:eastAsia="宋体" w:cs="宋体"/>
                <w:kern w:val="0"/>
                <w:sz w:val="18"/>
                <w:szCs w:val="18"/>
              </w:rPr>
            </w:pPr>
          </w:p>
        </w:tc>
      </w:tr>
    </w:tbl>
    <w:p>
      <w:pPr>
        <w:pStyle w:val="53"/>
        <w:ind w:left="380" w:firstLine="0" w:firstLineChars="0"/>
        <w:rPr>
          <w:kern w:val="0"/>
        </w:rPr>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color w:val="000000"/>
        </w:rPr>
      </w:pPr>
      <w:r>
        <w:rPr>
          <w:rFonts w:hint="eastAsia" w:ascii="黑体" w:hAnsi="黑体" w:eastAsia="黑体" w:cs="黑体"/>
          <w:color w:val="000000"/>
          <w:lang w:val="en-US" w:eastAsia="zh-CN"/>
        </w:rPr>
        <w:t>C.3.5</w:t>
      </w:r>
      <w:r>
        <w:rPr>
          <w:rFonts w:hint="eastAsia" w:ascii="黑体" w:hAnsi="黑体" w:eastAsia="黑体" w:cs="黑体"/>
          <w:color w:val="000000"/>
        </w:rPr>
        <w:t xml:space="preserve"> 网络安全风险管理</w:t>
      </w: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color w:val="000000"/>
          <w:lang w:val="en-US" w:eastAsia="zh-CN"/>
        </w:rPr>
      </w:pPr>
      <w:r>
        <w:rPr>
          <w:rFonts w:hint="eastAsia" w:ascii="黑体" w:hAnsi="黑体" w:eastAsia="黑体" w:cs="黑体"/>
          <w:color w:val="000000"/>
          <w:lang w:val="en-US" w:eastAsia="zh-CN"/>
        </w:rPr>
        <w:t xml:space="preserve">表C.6 </w:t>
      </w:r>
      <w:r>
        <w:rPr>
          <w:rFonts w:hint="eastAsia" w:ascii="黑体" w:hAnsi="黑体" w:eastAsia="黑体" w:cs="黑体"/>
          <w:color w:val="000000"/>
        </w:rPr>
        <w:t>网络安全风险管理</w:t>
      </w:r>
      <w:r>
        <w:rPr>
          <w:rFonts w:hint="eastAsia" w:ascii="黑体" w:hAnsi="黑体" w:eastAsia="黑体" w:cs="黑体"/>
          <w:color w:val="000000"/>
          <w:lang w:eastAsia="zh-CN"/>
        </w:rPr>
        <w:t>内容与要求</w:t>
      </w:r>
    </w:p>
    <w:tbl>
      <w:tblPr>
        <w:tblStyle w:val="21"/>
        <w:tblW w:w="936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45"/>
        <w:gridCol w:w="397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章节号</w:t>
            </w:r>
          </w:p>
        </w:tc>
        <w:tc>
          <w:tcPr>
            <w:tcW w:w="2145"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章节名</w:t>
            </w:r>
          </w:p>
        </w:tc>
        <w:tc>
          <w:tcPr>
            <w:tcW w:w="3975"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内容与要求</w:t>
            </w:r>
          </w:p>
        </w:tc>
        <w:tc>
          <w:tcPr>
            <w:tcW w:w="2340" w:type="dxa"/>
            <w:vAlign w:val="center"/>
          </w:tcPr>
          <w:p>
            <w:pPr>
              <w:pStyle w:val="53"/>
              <w:ind w:firstLine="0" w:firstLineChars="0"/>
              <w:jc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00"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14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网络安全系统风险评估</w:t>
            </w:r>
          </w:p>
        </w:tc>
        <w:tc>
          <w:tcPr>
            <w:tcW w:w="3975" w:type="dxa"/>
            <w:vAlign w:val="center"/>
          </w:tcPr>
          <w:p>
            <w:pPr>
              <w:jc w:val="left"/>
              <w:rPr>
                <w:rFonts w:hint="eastAsia" w:ascii="宋体" w:hAnsi="宋体" w:eastAsia="宋体" w:cs="宋体"/>
                <w:color w:val="000000"/>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color w:val="000000"/>
                <w:kern w:val="0"/>
                <w:sz w:val="18"/>
                <w:szCs w:val="18"/>
              </w:rPr>
              <w:t>信息保护设计原则，风险属性等</w:t>
            </w:r>
          </w:p>
        </w:tc>
        <w:tc>
          <w:tcPr>
            <w:tcW w:w="2340" w:type="dxa"/>
            <w:vMerge w:val="restart"/>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kern w:val="0"/>
                <w:sz w:val="18"/>
                <w:szCs w:val="18"/>
              </w:rPr>
              <w:t>《网络安全风险估计与控制理论》、《网络安全与管理》、 《信息安全管理与风险评估》（网络空间安全技术丛书）、《网络安全意识导论》（网络安全攻防技术</w:t>
            </w:r>
            <w:r>
              <w:rPr>
                <w:rFonts w:hint="eastAsia" w:ascii="宋体" w:hAnsi="宋体" w:cs="宋体"/>
                <w:kern w:val="0"/>
                <w:sz w:val="18"/>
                <w:szCs w:val="18"/>
                <w:lang w:eastAsia="zh-CN"/>
              </w:rPr>
              <w:t>》《</w:t>
            </w:r>
            <w:r>
              <w:rPr>
                <w:rFonts w:hint="eastAsia" w:ascii="宋体" w:hAnsi="宋体" w:eastAsia="宋体" w:cs="宋体"/>
                <w:kern w:val="0"/>
                <w:sz w:val="18"/>
                <w:szCs w:val="18"/>
              </w:rPr>
              <w:t>网络安全管理常用技术</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网络安全风险识别</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网络安全测试系统</w:t>
            </w:r>
            <w:r>
              <w:rPr>
                <w:rFonts w:hint="eastAsia" w:ascii="宋体" w:hAnsi="宋体" w:cs="宋体"/>
                <w:kern w:val="0"/>
                <w:sz w:val="18"/>
                <w:szCs w:val="18"/>
                <w:lang w:eastAsia="zh-CN"/>
              </w:rPr>
              <w:t>》</w:t>
            </w:r>
            <w:r>
              <w:rPr>
                <w:rFonts w:hint="eastAsia" w:ascii="宋体" w:hAnsi="宋体" w:eastAsia="宋体" w:cs="宋体"/>
                <w:kern w:val="0"/>
                <w:sz w:val="18"/>
                <w:szCs w:val="18"/>
              </w:rPr>
              <w:t xml:space="preserve"> </w:t>
            </w:r>
            <w:r>
              <w:rPr>
                <w:rFonts w:hint="eastAsia" w:ascii="宋体" w:hAnsi="宋体" w:cs="宋体"/>
                <w:kern w:val="0"/>
                <w:sz w:val="18"/>
                <w:szCs w:val="18"/>
                <w:lang w:eastAsia="zh-CN"/>
              </w:rPr>
              <w:t>《</w:t>
            </w:r>
            <w:r>
              <w:rPr>
                <w:rFonts w:hint="eastAsia" w:ascii="宋体" w:hAnsi="宋体" w:eastAsia="宋体" w:cs="宋体"/>
                <w:kern w:val="0"/>
                <w:sz w:val="18"/>
                <w:szCs w:val="18"/>
              </w:rPr>
              <w:t>网络空间安全内网攻击防御</w:t>
            </w:r>
            <w:r>
              <w:rPr>
                <w:rFonts w:hint="eastAsia" w:ascii="宋体" w:hAnsi="宋体" w:cs="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14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网络安全系统统合规性监管</w:t>
            </w:r>
          </w:p>
        </w:tc>
        <w:tc>
          <w:tcPr>
            <w:tcW w:w="3975" w:type="dxa"/>
            <w:vAlign w:val="center"/>
          </w:tcPr>
          <w:p>
            <w:pPr>
              <w:pStyle w:val="53"/>
              <w:ind w:right="-101" w:rightChars="-48" w:firstLine="0" w:firstLineChars="0"/>
              <w:jc w:val="left"/>
              <w:rPr>
                <w:rFonts w:hint="eastAsia" w:ascii="宋体" w:hAnsi="宋体" w:eastAsia="宋体" w:cs="宋体"/>
                <w:color w:val="000000"/>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color w:val="000000"/>
                <w:kern w:val="0"/>
                <w:sz w:val="18"/>
                <w:szCs w:val="18"/>
              </w:rPr>
              <w:t>网络安全设备合规性监管及制定网络安全合规程度的方法，掌握构建或调整网络合规性监管方法。</w:t>
            </w:r>
          </w:p>
        </w:tc>
        <w:tc>
          <w:tcPr>
            <w:tcW w:w="2340" w:type="dxa"/>
            <w:vMerge w:val="continue"/>
            <w:vAlign w:val="center"/>
          </w:tcPr>
          <w:p>
            <w:pPr>
              <w:pStyle w:val="53"/>
              <w:ind w:firstLine="0" w:firstLineChars="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14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网络安全风险事件管理与取证</w:t>
            </w:r>
          </w:p>
        </w:tc>
        <w:tc>
          <w:tcPr>
            <w:tcW w:w="397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color w:val="000000"/>
                <w:kern w:val="0"/>
                <w:sz w:val="18"/>
                <w:szCs w:val="18"/>
              </w:rPr>
              <w:t>网络安全事件管理内容，理解网络安全事件响应方法的制定、规划与实施，检测与分析以及取证等解决办法。</w:t>
            </w:r>
          </w:p>
        </w:tc>
        <w:tc>
          <w:tcPr>
            <w:tcW w:w="2340" w:type="dxa"/>
            <w:vMerge w:val="continue"/>
            <w:vAlign w:val="center"/>
          </w:tcPr>
          <w:p>
            <w:pPr>
              <w:pStyle w:val="53"/>
              <w:ind w:firstLine="0" w:firstLineChars="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14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网络安全风险运维</w:t>
            </w:r>
          </w:p>
        </w:tc>
        <w:tc>
          <w:tcPr>
            <w:tcW w:w="3975" w:type="dxa"/>
            <w:vAlign w:val="center"/>
          </w:tcPr>
          <w:p>
            <w:pPr>
              <w:pStyle w:val="53"/>
              <w:ind w:firstLine="0" w:firstLineChars="0"/>
              <w:jc w:val="left"/>
              <w:rPr>
                <w:rFonts w:hint="eastAsia" w:ascii="宋体" w:hAnsi="宋体" w:eastAsia="宋体" w:cs="宋体"/>
                <w:color w:val="000000"/>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color w:val="000000"/>
                <w:kern w:val="0"/>
                <w:sz w:val="18"/>
                <w:szCs w:val="18"/>
              </w:rPr>
              <w:t>网络安全系统生命周期，理解网络安全与风险管理规划、部署、管理、监控与检测、修复与处置等方面的运维方法。</w:t>
            </w:r>
          </w:p>
        </w:tc>
        <w:tc>
          <w:tcPr>
            <w:tcW w:w="2340" w:type="dxa"/>
            <w:vMerge w:val="continue"/>
            <w:vAlign w:val="center"/>
          </w:tcPr>
          <w:p>
            <w:pPr>
              <w:pStyle w:val="53"/>
              <w:ind w:firstLine="0" w:firstLineChars="0"/>
              <w:jc w:val="left"/>
              <w:rPr>
                <w:rFonts w:hint="eastAsia" w:ascii="宋体" w:hAnsi="宋体" w:eastAsia="宋体" w:cs="宋体"/>
                <w:color w:val="000000"/>
                <w:kern w:val="0"/>
                <w:sz w:val="18"/>
                <w:szCs w:val="18"/>
              </w:rPr>
            </w:pPr>
          </w:p>
        </w:tc>
      </w:tr>
    </w:tbl>
    <w:p>
      <w:pPr>
        <w:pStyle w:val="53"/>
        <w:ind w:left="380" w:firstLine="0" w:firstLineChars="0"/>
        <w:jc w:val="left"/>
        <w:rPr>
          <w:rFonts w:ascii="宋体" w:hAnsi="宋体"/>
        </w:rPr>
      </w:pP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rPr>
      </w:pPr>
      <w:r>
        <w:rPr>
          <w:rFonts w:hint="eastAsia" w:ascii="黑体" w:hAnsi="黑体" w:eastAsia="黑体" w:cs="黑体"/>
          <w:lang w:val="en-US" w:eastAsia="zh-CN"/>
        </w:rPr>
        <w:t>C.3.6</w:t>
      </w:r>
      <w:r>
        <w:rPr>
          <w:rFonts w:hint="eastAsia" w:ascii="黑体" w:hAnsi="黑体" w:eastAsia="黑体" w:cs="黑体"/>
        </w:rPr>
        <w:t xml:space="preserve"> 信息安全风险评估案例分析</w:t>
      </w: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color w:val="000000"/>
          <w:lang w:val="en-US" w:eastAsia="zh-CN"/>
        </w:rPr>
        <w:t xml:space="preserve">表C.6 </w:t>
      </w:r>
      <w:r>
        <w:rPr>
          <w:rFonts w:hint="eastAsia" w:ascii="黑体" w:hAnsi="黑体" w:eastAsia="黑体" w:cs="黑体"/>
        </w:rPr>
        <w:t>信息安全风险评估案例分析</w:t>
      </w:r>
      <w:r>
        <w:rPr>
          <w:rFonts w:hint="eastAsia" w:ascii="黑体" w:hAnsi="黑体" w:eastAsia="黑体" w:cs="黑体"/>
          <w:lang w:eastAsia="zh-CN"/>
        </w:rPr>
        <w:t>内容与要求</w:t>
      </w:r>
    </w:p>
    <w:tbl>
      <w:tblPr>
        <w:tblStyle w:val="21"/>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2161"/>
        <w:gridCol w:w="401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85" w:type="dxa"/>
            <w:noWrap w:val="0"/>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章节号</w:t>
            </w:r>
          </w:p>
        </w:tc>
        <w:tc>
          <w:tcPr>
            <w:tcW w:w="2161" w:type="dxa"/>
            <w:noWrap w:val="0"/>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章节名</w:t>
            </w:r>
          </w:p>
        </w:tc>
        <w:tc>
          <w:tcPr>
            <w:tcW w:w="4019" w:type="dxa"/>
            <w:noWrap w:val="0"/>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内容与要求</w:t>
            </w:r>
          </w:p>
        </w:tc>
        <w:tc>
          <w:tcPr>
            <w:tcW w:w="2370" w:type="dxa"/>
            <w:noWrap w:val="0"/>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161"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信息安全风险评估概述</w:t>
            </w:r>
          </w:p>
        </w:tc>
        <w:tc>
          <w:tcPr>
            <w:tcW w:w="4019" w:type="dxa"/>
            <w:noWrap w:val="0"/>
            <w:vAlign w:val="center"/>
          </w:tcPr>
          <w:p>
            <w:pPr>
              <w:jc w:val="left"/>
              <w:rPr>
                <w:rFonts w:hint="eastAsia" w:ascii="宋体" w:hAnsi="宋体" w:eastAsia="宋体" w:cs="宋体"/>
                <w:kern w:val="0"/>
                <w:sz w:val="18"/>
                <w:szCs w:val="18"/>
              </w:rPr>
            </w:pPr>
            <w:r>
              <w:rPr>
                <w:rFonts w:hint="eastAsia" w:ascii="宋体" w:hAnsi="宋体" w:eastAsia="宋体" w:cs="宋体"/>
                <w:kern w:val="0"/>
                <w:sz w:val="18"/>
                <w:szCs w:val="18"/>
              </w:rPr>
              <w:t>确定评估的内容、评估的依据</w:t>
            </w:r>
          </w:p>
        </w:tc>
        <w:tc>
          <w:tcPr>
            <w:tcW w:w="2370" w:type="dxa"/>
            <w:vMerge w:val="restart"/>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《信息安全风险评估手册》（</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"https://book.jd.com/publish/%E6%9C%BA%E6%A2%B0%E5%B7%A5%E4%B8%9A%E5%87%BA%E7%89%88%E7%A4%BE_1.html" \t "https://item.jd.com/_blank" \o "机械工业出版社" </w:instrText>
            </w:r>
            <w:r>
              <w:rPr>
                <w:rFonts w:hint="eastAsia" w:ascii="宋体" w:hAnsi="宋体" w:eastAsia="宋体" w:cs="宋体"/>
                <w:sz w:val="18"/>
                <w:szCs w:val="18"/>
              </w:rPr>
              <w:fldChar w:fldCharType="separate"/>
            </w:r>
            <w:r>
              <w:rPr>
                <w:rFonts w:hint="eastAsia" w:ascii="宋体" w:hAnsi="宋体" w:eastAsia="宋体" w:cs="宋体"/>
                <w:kern w:val="0"/>
                <w:sz w:val="18"/>
                <w:szCs w:val="18"/>
              </w:rPr>
              <w:t>机械工业出版社</w:t>
            </w:r>
            <w:r>
              <w:rPr>
                <w:rFonts w:hint="eastAsia" w:ascii="宋体" w:hAnsi="宋体" w:eastAsia="宋体" w:cs="宋体"/>
                <w:kern w:val="0"/>
                <w:sz w:val="18"/>
                <w:szCs w:val="18"/>
              </w:rPr>
              <w:fldChar w:fldCharType="end"/>
            </w:r>
            <w:r>
              <w:rPr>
                <w:rFonts w:hint="eastAsia" w:ascii="宋体" w:hAnsi="宋体" w:eastAsia="宋体" w:cs="宋体"/>
                <w:kern w:val="0"/>
                <w:sz w:val="18"/>
                <w:szCs w:val="18"/>
              </w:rPr>
              <w:t>，</w:t>
            </w:r>
            <w:r>
              <w:rPr>
                <w:rFonts w:hint="eastAsia" w:ascii="宋体" w:hAnsi="宋体" w:cs="宋体"/>
                <w:kern w:val="0"/>
                <w:sz w:val="18"/>
                <w:szCs w:val="18"/>
                <w:lang w:eastAsia="zh-CN"/>
              </w:rPr>
              <w:t>H</w:t>
            </w:r>
            <w:r>
              <w:rPr>
                <w:rFonts w:hint="eastAsia" w:ascii="宋体" w:hAnsi="宋体" w:eastAsia="宋体" w:cs="宋体"/>
                <w:kern w:val="0"/>
                <w:sz w:val="18"/>
                <w:szCs w:val="18"/>
              </w:rPr>
              <w:t>SBN：9787111566052）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161"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安全现状分析</w:t>
            </w:r>
          </w:p>
        </w:tc>
        <w:tc>
          <w:tcPr>
            <w:tcW w:w="4019"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对系统进行介绍、编制资产调查列表、描述网络现状</w:t>
            </w:r>
          </w:p>
        </w:tc>
        <w:tc>
          <w:tcPr>
            <w:tcW w:w="2370" w:type="dxa"/>
            <w:vMerge w:val="continue"/>
            <w:noWrap w:val="0"/>
            <w:vAlign w:val="center"/>
          </w:tcPr>
          <w:p>
            <w:pPr>
              <w:pStyle w:val="29"/>
              <w:ind w:firstLine="0" w:firstLineChars="0"/>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161"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风险评估内容</w:t>
            </w:r>
          </w:p>
        </w:tc>
        <w:tc>
          <w:tcPr>
            <w:tcW w:w="4019"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进行安全评估综合分析，具体包括：威胁评估、网络设备安全评估、主机人工安全评估、应用安全评估、网络架构安全评估、无线网络安全评估、工具扫描、管理安全评估</w:t>
            </w:r>
          </w:p>
        </w:tc>
        <w:tc>
          <w:tcPr>
            <w:tcW w:w="2370" w:type="dxa"/>
            <w:vMerge w:val="continue"/>
            <w:noWrap w:val="0"/>
            <w:vAlign w:val="center"/>
          </w:tcPr>
          <w:p>
            <w:pPr>
              <w:pStyle w:val="29"/>
              <w:ind w:firstLine="0" w:firstLineChars="0"/>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85" w:type="dxa"/>
            <w:noWrap w:val="0"/>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161"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风险分析和处理</w:t>
            </w:r>
          </w:p>
        </w:tc>
        <w:tc>
          <w:tcPr>
            <w:tcW w:w="4019" w:type="dxa"/>
            <w:noWrap w:val="0"/>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进行综合风险分析，具体包括：综合风险评估方法、综合风险评估分析；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进行风险处置，具体包括：风险处置方式、风险处置计划</w:t>
            </w:r>
          </w:p>
        </w:tc>
        <w:tc>
          <w:tcPr>
            <w:tcW w:w="2370" w:type="dxa"/>
            <w:vMerge w:val="continue"/>
            <w:noWrap w:val="0"/>
            <w:vAlign w:val="center"/>
          </w:tcPr>
          <w:p>
            <w:pPr>
              <w:pStyle w:val="29"/>
              <w:ind w:firstLine="0" w:firstLineChars="0"/>
              <w:jc w:val="left"/>
              <w:rPr>
                <w:rFonts w:hint="eastAsia" w:ascii="宋体" w:hAnsi="宋体" w:eastAsia="宋体" w:cs="宋体"/>
                <w:kern w:val="0"/>
                <w:sz w:val="18"/>
                <w:szCs w:val="18"/>
              </w:rPr>
            </w:pPr>
          </w:p>
        </w:tc>
      </w:tr>
    </w:tbl>
    <w:p>
      <w:pPr>
        <w:pStyle w:val="51"/>
        <w:keepNext w:val="0"/>
        <w:keepLines w:val="0"/>
        <w:pageBreakBefore w:val="0"/>
        <w:widowControl w:val="0"/>
        <w:kinsoku/>
        <w:wordWrap/>
        <w:overflowPunct/>
        <w:topLinePunct w:val="0"/>
        <w:autoSpaceDE/>
        <w:autoSpaceDN/>
        <w:bidi w:val="0"/>
        <w:adjustRightInd/>
        <w:snapToGrid/>
        <w:spacing w:before="160" w:beforeLines="50" w:line="360" w:lineRule="auto"/>
        <w:ind w:firstLine="0" w:firstLineChars="0"/>
        <w:textAlignment w:val="auto"/>
        <w:rPr>
          <w:rFonts w:hint="eastAsia" w:ascii="黑体" w:hAnsi="黑体" w:eastAsia="黑体" w:cs="黑体"/>
          <w:b w:val="0"/>
          <w:bCs w:val="0"/>
        </w:rPr>
      </w:pPr>
      <w:r>
        <w:rPr>
          <w:rFonts w:hint="eastAsia" w:ascii="黑体" w:hAnsi="黑体" w:eastAsia="黑体" w:cs="黑体"/>
          <w:b w:val="0"/>
          <w:bCs w:val="0"/>
          <w:lang w:val="en-US" w:eastAsia="zh-CN"/>
        </w:rPr>
        <w:t xml:space="preserve">C.4 </w:t>
      </w:r>
      <w:r>
        <w:rPr>
          <w:rFonts w:hint="eastAsia" w:ascii="黑体" w:hAnsi="黑体" w:eastAsia="黑体" w:cs="黑体"/>
          <w:b w:val="0"/>
          <w:bCs w:val="0"/>
        </w:rPr>
        <w:t>考试说明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Cs w:val="21"/>
        </w:rPr>
      </w:pPr>
      <w:r>
        <w:rPr>
          <w:rFonts w:hint="eastAsia" w:ascii="黑体" w:hAnsi="黑体" w:eastAsia="黑体" w:cs="黑体"/>
          <w:b w:val="0"/>
          <w:bCs w:val="0"/>
          <w:lang w:val="en-US" w:eastAsia="zh-CN"/>
        </w:rPr>
        <w:t>C.4.1</w:t>
      </w:r>
      <w:r>
        <w:rPr>
          <w:szCs w:val="21"/>
        </w:rPr>
        <w:t xml:space="preserve"> </w:t>
      </w:r>
      <w:r>
        <w:rPr>
          <w:rFonts w:hint="eastAsia"/>
          <w:szCs w:val="21"/>
        </w:rPr>
        <w:t>题型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eastAsiaTheme="minorEastAsia"/>
          <w:szCs w:val="21"/>
          <w:lang w:val="en-US" w:eastAsia="zh-CN"/>
        </w:rPr>
      </w:pPr>
      <w:r>
        <w:rPr>
          <w:rFonts w:hint="eastAsia"/>
          <w:szCs w:val="21"/>
          <w:lang w:val="en-US" w:eastAsia="zh-CN"/>
        </w:rPr>
        <w:t>表 C.7 题型</w:t>
      </w:r>
    </w:p>
    <w:tbl>
      <w:tblPr>
        <w:tblStyle w:val="21"/>
        <w:tblW w:w="932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2186"/>
        <w:gridCol w:w="2925"/>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2" w:type="dxa"/>
            <w:vAlign w:val="top"/>
          </w:tcPr>
          <w:p>
            <w:pPr>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题型</w:t>
            </w:r>
          </w:p>
        </w:tc>
        <w:tc>
          <w:tcPr>
            <w:tcW w:w="2186" w:type="dxa"/>
            <w:vAlign w:val="top"/>
          </w:tcPr>
          <w:p>
            <w:pPr>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数量</w:t>
            </w:r>
          </w:p>
        </w:tc>
        <w:tc>
          <w:tcPr>
            <w:tcW w:w="2925" w:type="dxa"/>
            <w:vAlign w:val="top"/>
          </w:tcPr>
          <w:p>
            <w:pPr>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单题分值（分）</w:t>
            </w:r>
          </w:p>
        </w:tc>
        <w:tc>
          <w:tcPr>
            <w:tcW w:w="2236" w:type="dxa"/>
            <w:vAlign w:val="top"/>
          </w:tcPr>
          <w:p>
            <w:pPr>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2"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单项选择</w:t>
            </w:r>
          </w:p>
        </w:tc>
        <w:tc>
          <w:tcPr>
            <w:tcW w:w="218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2925"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3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2"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多项选择</w:t>
            </w:r>
          </w:p>
        </w:tc>
        <w:tc>
          <w:tcPr>
            <w:tcW w:w="218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2925"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3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2"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判断题</w:t>
            </w:r>
          </w:p>
        </w:tc>
        <w:tc>
          <w:tcPr>
            <w:tcW w:w="218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925"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3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82"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问答题</w:t>
            </w:r>
          </w:p>
        </w:tc>
        <w:tc>
          <w:tcPr>
            <w:tcW w:w="218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2925"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236" w:type="dxa"/>
            <w:vAlign w:val="top"/>
          </w:tcPr>
          <w:p>
            <w:pPr>
              <w:spacing w:line="36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ascii="Songti SC" w:hAnsi="Songti SC" w:eastAsia="Songti SC"/>
          <w:szCs w:val="21"/>
        </w:rPr>
      </w:pPr>
      <w:r>
        <w:rPr>
          <w:rFonts w:hint="eastAsia" w:ascii="黑体" w:hAnsi="黑体" w:eastAsia="黑体" w:cs="黑体"/>
          <w:b w:val="0"/>
          <w:bCs w:val="0"/>
          <w:lang w:val="en-US" w:eastAsia="zh-CN"/>
        </w:rPr>
        <w:t>C.4.2</w:t>
      </w:r>
      <w:r>
        <w:rPr>
          <w:rFonts w:hint="eastAsia" w:ascii="黑体" w:hAnsi="黑体" w:eastAsia="黑体" w:cs="黑体"/>
          <w:szCs w:val="21"/>
        </w:rPr>
        <w:t xml:space="preserve"> 考试时间</w:t>
      </w:r>
    </w:p>
    <w:p>
      <w:pPr>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总考试时间为120分钟，提前15分钟进入考场，迟到30分钟以上的视为放弃考试，考试开始后30分钟内离场的成绩无效。</w:t>
      </w:r>
    </w:p>
    <w:p>
      <w:pPr>
        <w:spacing w:line="360" w:lineRule="auto"/>
        <w:rPr>
          <w:rFonts w:hint="eastAsia" w:ascii="黑体" w:hAnsi="黑体" w:eastAsia="黑体" w:cs="黑体"/>
          <w:szCs w:val="21"/>
        </w:rPr>
      </w:pPr>
      <w:r>
        <w:rPr>
          <w:rFonts w:hint="eastAsia" w:ascii="黑体" w:hAnsi="黑体" w:eastAsia="黑体" w:cs="黑体"/>
          <w:b w:val="0"/>
          <w:bCs w:val="0"/>
          <w:lang w:val="en-US" w:eastAsia="zh-CN"/>
        </w:rPr>
        <w:t>C.4.3</w:t>
      </w:r>
      <w:r>
        <w:rPr>
          <w:rFonts w:hint="eastAsia" w:ascii="黑体" w:hAnsi="黑体" w:eastAsia="黑体" w:cs="黑体"/>
          <w:szCs w:val="21"/>
        </w:rPr>
        <w:t>考试合格标准</w:t>
      </w:r>
    </w:p>
    <w:p>
      <w:pPr>
        <w:spacing w:line="360" w:lineRule="auto"/>
        <w:ind w:firstLine="420" w:firstLineChars="200"/>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考试满分为1</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分，考试成绩</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分以上为合格</w:t>
      </w:r>
      <w:r>
        <w:rPr>
          <w:rFonts w:hint="eastAsia" w:ascii="Times New Roman" w:hAnsi="Times New Roman" w:eastAsia="宋体" w:cs="Times New Roman"/>
          <w:kern w:val="0"/>
          <w:szCs w:val="21"/>
          <w:lang w:eastAsia="zh-CN"/>
        </w:rPr>
        <w:t>。</w:t>
      </w:r>
    </w:p>
    <w:p>
      <w:pPr>
        <w:spacing w:line="120" w:lineRule="auto"/>
        <w:rPr>
          <w:rFonts w:ascii="Songti SC" w:hAnsi="Songti SC" w:eastAsia="Songti SC"/>
          <w:color w:val="000000" w:themeColor="text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rPr>
      </w:pPr>
      <w:r>
        <w:rPr>
          <w:rFonts w:ascii="宋体" w:hAnsi="宋体"/>
          <w:color w:val="0070C0"/>
          <w:szCs w:val="21"/>
        </w:rPr>
        <w:br w:type="page"/>
      </w:r>
      <w:bookmarkStart w:id="61" w:name="_Toc14801"/>
      <w:r>
        <w:rPr>
          <w:rFonts w:hint="eastAsia" w:ascii="黑体" w:hAnsi="黑体" w:eastAsia="黑体" w:cs="黑体"/>
          <w:b w:val="0"/>
          <w:bCs w:val="0"/>
          <w:kern w:val="0"/>
          <w:szCs w:val="21"/>
        </w:rPr>
        <w:t>附</w:t>
      </w:r>
      <w:r>
        <w:rPr>
          <w:rFonts w:hint="eastAsia" w:ascii="黑体" w:hAnsi="黑体" w:eastAsia="黑体" w:cs="黑体"/>
          <w:b w:val="0"/>
          <w:bCs w:val="0"/>
          <w:kern w:val="0"/>
          <w:szCs w:val="21"/>
          <w:lang w:val="en-US" w:eastAsia="zh-CN"/>
        </w:rPr>
        <w:t xml:space="preserve"> </w:t>
      </w:r>
      <w:r>
        <w:rPr>
          <w:rFonts w:hint="eastAsia" w:ascii="黑体" w:hAnsi="黑体" w:eastAsia="黑体" w:cs="黑体"/>
          <w:b w:val="0"/>
          <w:bCs w:val="0"/>
          <w:kern w:val="0"/>
          <w:szCs w:val="21"/>
        </w:rPr>
        <w:t>录</w:t>
      </w:r>
      <w:r>
        <w:rPr>
          <w:rFonts w:hint="eastAsia" w:ascii="黑体" w:hAnsi="黑体" w:eastAsia="黑体" w:cs="黑体"/>
          <w:b w:val="0"/>
          <w:bCs w:val="0"/>
          <w:kern w:val="0"/>
          <w:szCs w:val="21"/>
          <w:lang w:val="en-US" w:eastAsia="zh-CN"/>
        </w:rPr>
        <w:t xml:space="preserve"> </w:t>
      </w:r>
      <w:r>
        <w:rPr>
          <w:rFonts w:hint="eastAsia" w:ascii="黑体" w:hAnsi="黑体" w:eastAsia="黑体" w:cs="黑体"/>
          <w:b w:val="0"/>
          <w:bCs w:val="0"/>
          <w:kern w:val="0"/>
          <w:szCs w:val="21"/>
        </w:rPr>
        <w:t>D</w:t>
      </w:r>
      <w:bookmarkEnd w:id="61"/>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lang w:eastAsia="zh-CN"/>
        </w:rPr>
      </w:pPr>
      <w:bookmarkStart w:id="62" w:name="_Toc11217"/>
      <w:r>
        <w:rPr>
          <w:rFonts w:hint="eastAsia" w:ascii="黑体" w:hAnsi="黑体" w:eastAsia="黑体" w:cs="黑体"/>
          <w:b w:val="0"/>
          <w:bCs w:val="0"/>
          <w:kern w:val="0"/>
          <w:szCs w:val="21"/>
          <w:lang w:eastAsia="zh-CN"/>
        </w:rPr>
        <w:t>（规范性）</w:t>
      </w:r>
      <w:bookmarkEnd w:id="62"/>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rPr>
      </w:pPr>
      <w:bookmarkStart w:id="63" w:name="_Toc16743"/>
      <w:r>
        <w:rPr>
          <w:rFonts w:hint="eastAsia" w:ascii="黑体" w:hAnsi="黑体" w:eastAsia="黑体" w:cs="黑体"/>
          <w:b w:val="0"/>
          <w:bCs w:val="0"/>
          <w:kern w:val="0"/>
          <w:szCs w:val="21"/>
        </w:rPr>
        <w:t>物联网安全考试大纲</w:t>
      </w:r>
      <w:bookmarkEnd w:id="63"/>
    </w:p>
    <w:p>
      <w:pPr>
        <w:rPr>
          <w:rFonts w:ascii="Times New Roman" w:hAnsi="Times New Roman" w:eastAsia="宋体" w:cs="Times New Roman"/>
          <w:kern w:val="0"/>
          <w:szCs w:val="21"/>
        </w:rPr>
      </w:pPr>
    </w:p>
    <w:p>
      <w:pPr>
        <w:pStyle w:val="2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b/>
          <w:bCs/>
          <w:kern w:val="0"/>
        </w:rPr>
      </w:pPr>
      <w:r>
        <w:rPr>
          <w:rFonts w:hint="eastAsia" w:ascii="黑体" w:hAnsi="黑体" w:eastAsia="黑体" w:cs="黑体"/>
          <w:b w:val="0"/>
          <w:bCs w:val="0"/>
          <w:kern w:val="0"/>
          <w:lang w:val="en-US" w:eastAsia="zh-CN"/>
        </w:rPr>
        <w:t>D.1</w:t>
      </w:r>
      <w:r>
        <w:rPr>
          <w:rFonts w:hint="eastAsia" w:ascii="黑体" w:hAnsi="黑体" w:eastAsia="黑体" w:cs="黑体"/>
          <w:b w:val="0"/>
          <w:bCs w:val="0"/>
          <w:kern w:val="0"/>
        </w:rPr>
        <w:t>目的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为使考生</w:t>
      </w:r>
      <w:r>
        <w:rPr>
          <w:rFonts w:hint="eastAsia" w:ascii="Times New Roman" w:hAnsi="Times New Roman" w:eastAsia="宋体" w:cs="Times New Roman"/>
          <w:kern w:val="0"/>
          <w:szCs w:val="21"/>
        </w:rPr>
        <w:t>达到本认证规范中</w:t>
      </w:r>
      <w:r>
        <w:rPr>
          <w:rFonts w:ascii="Times New Roman" w:hAnsi="Times New Roman" w:eastAsia="宋体" w:cs="Times New Roman"/>
          <w:kern w:val="0"/>
          <w:szCs w:val="21"/>
        </w:rPr>
        <w:t>规定</w:t>
      </w:r>
      <w:r>
        <w:rPr>
          <w:rFonts w:hint="eastAsia" w:ascii="Times New Roman" w:hAnsi="Times New Roman" w:eastAsia="宋体" w:cs="Times New Roman"/>
          <w:kern w:val="0"/>
          <w:szCs w:val="21"/>
        </w:rPr>
        <w:t>网络空间安全专业人员技术类物联网安全方向三、四级能力要求，</w:t>
      </w:r>
      <w:r>
        <w:rPr>
          <w:rFonts w:ascii="Times New Roman" w:hAnsi="Times New Roman" w:eastAsia="宋体" w:cs="Times New Roman"/>
          <w:kern w:val="0"/>
          <w:szCs w:val="21"/>
        </w:rPr>
        <w:t>指导考生有效准备考试，特制定本考试大纲(以下简称大纲)</w:t>
      </w:r>
      <w:r>
        <w:rPr>
          <w:rFonts w:hint="eastAsia" w:ascii="Times New Roman" w:hAnsi="Times New Roman" w:eastAsia="宋体" w:cs="Times New Roman"/>
          <w:kern w:val="0"/>
          <w:szCs w:val="21"/>
          <w:lang w:val="en-US" w:eastAsia="zh-CN"/>
        </w:rPr>
        <w:t>,</w:t>
      </w:r>
      <w:r>
        <w:rPr>
          <w:rFonts w:hint="eastAsia" w:ascii="Times New Roman" w:hAnsi="Times New Roman" w:eastAsia="宋体" w:cs="Times New Roman"/>
          <w:kern w:val="0"/>
          <w:szCs w:val="21"/>
        </w:rPr>
        <w:t>本大纲适用于所有申请网络空间安全专业人员认证技术类物联网安全方向三、四级的人员</w:t>
      </w:r>
      <w:r>
        <w:rPr>
          <w:rFonts w:hint="eastAsia" w:ascii="Times New Roman" w:hAnsi="Times New Roman" w:eastAsia="宋体" w:cs="Times New Roman"/>
          <w:kern w:val="0"/>
          <w:szCs w:val="21"/>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kern w:val="0"/>
        </w:rPr>
      </w:pPr>
      <w:r>
        <w:rPr>
          <w:rFonts w:hint="eastAsia" w:ascii="黑体" w:hAnsi="黑体" w:eastAsia="黑体" w:cs="黑体"/>
          <w:b w:val="0"/>
          <w:bCs w:val="0"/>
          <w:kern w:val="0"/>
          <w:lang w:val="en-US" w:eastAsia="zh-CN"/>
        </w:rPr>
        <w:t>D.2</w:t>
      </w:r>
      <w:r>
        <w:rPr>
          <w:rFonts w:hint="eastAsia" w:ascii="黑体" w:hAnsi="黑体" w:eastAsia="黑体" w:cs="黑体"/>
          <w:b w:val="0"/>
          <w:bCs w:val="0"/>
          <w:kern w:val="0"/>
        </w:rPr>
        <w:t>考试内容</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kern w:val="0"/>
          <w:lang w:eastAsia="zh-CN"/>
        </w:rPr>
      </w:pPr>
      <w:r>
        <w:rPr>
          <w:rFonts w:hint="eastAsia" w:ascii="黑体" w:hAnsi="黑体" w:eastAsia="黑体" w:cs="黑体"/>
          <w:b w:val="0"/>
          <w:bCs w:val="0"/>
          <w:kern w:val="0"/>
          <w:lang w:val="en-US" w:eastAsia="zh-CN"/>
        </w:rPr>
        <w:t>D.2.1</w:t>
      </w:r>
      <w:r>
        <w:rPr>
          <w:rFonts w:hint="eastAsia" w:ascii="黑体" w:hAnsi="黑体" w:eastAsia="黑体" w:cs="黑体"/>
          <w:kern w:val="0"/>
        </w:rPr>
        <w:t>课程要求和考试比例</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D.1 </w:t>
      </w:r>
      <w:r>
        <w:rPr>
          <w:rFonts w:hint="eastAsia" w:ascii="黑体" w:hAnsi="黑体" w:eastAsia="黑体" w:cs="黑体"/>
          <w:kern w:val="0"/>
        </w:rPr>
        <w:t>课程要求和考试比例</w:t>
      </w:r>
    </w:p>
    <w:tbl>
      <w:tblPr>
        <w:tblStyle w:val="21"/>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7"/>
        <w:gridCol w:w="1753"/>
        <w:gridCol w:w="198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课程名称</w:t>
            </w:r>
          </w:p>
        </w:tc>
        <w:tc>
          <w:tcPr>
            <w:tcW w:w="1753"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课程类型</w:t>
            </w:r>
          </w:p>
        </w:tc>
        <w:tc>
          <w:tcPr>
            <w:tcW w:w="198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选择范围</w:t>
            </w:r>
          </w:p>
        </w:tc>
        <w:tc>
          <w:tcPr>
            <w:tcW w:w="247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物联网安全基础</w:t>
            </w:r>
          </w:p>
        </w:tc>
        <w:tc>
          <w:tcPr>
            <w:tcW w:w="1753"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9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47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物联网安全系统规划与实现</w:t>
            </w:r>
          </w:p>
        </w:tc>
        <w:tc>
          <w:tcPr>
            <w:tcW w:w="1753"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9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47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物联网安全管理与运维</w:t>
            </w:r>
          </w:p>
        </w:tc>
        <w:tc>
          <w:tcPr>
            <w:tcW w:w="1753"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9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47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物联网渗透测试</w:t>
            </w:r>
          </w:p>
        </w:tc>
        <w:tc>
          <w:tcPr>
            <w:tcW w:w="1753"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9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47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物联网安全职业素养</w:t>
            </w:r>
          </w:p>
        </w:tc>
        <w:tc>
          <w:tcPr>
            <w:tcW w:w="1753"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9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47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r>
    </w:tbl>
    <w:p>
      <w:pPr>
        <w:rPr>
          <w:rFonts w:ascii="Times New Roman" w:hAnsi="Times New Roman" w:eastAsia="宋体" w:cs="Times New Roman"/>
          <w:kern w:val="0"/>
          <w:szCs w:val="21"/>
        </w:rPr>
      </w:pPr>
    </w:p>
    <w:p>
      <w:pPr>
        <w:pStyle w:val="29"/>
        <w:numPr>
          <w:ilvl w:val="0"/>
          <w:numId w:val="0"/>
        </w:numPr>
        <w:spacing w:after="156" w:afterLines="50"/>
        <w:ind w:leftChars="0"/>
        <w:rPr>
          <w:rFonts w:hint="eastAsia" w:ascii="黑体" w:hAnsi="黑体" w:eastAsia="黑体" w:cs="黑体"/>
          <w:kern w:val="0"/>
        </w:rPr>
      </w:pPr>
      <w:r>
        <w:rPr>
          <w:rFonts w:hint="eastAsia" w:ascii="黑体" w:hAnsi="黑体" w:eastAsia="黑体" w:cs="黑体"/>
          <w:kern w:val="0"/>
          <w:lang w:val="en-US" w:eastAsia="zh-CN"/>
        </w:rPr>
        <w:t xml:space="preserve">D.3 </w:t>
      </w:r>
      <w:r>
        <w:rPr>
          <w:rFonts w:hint="eastAsia" w:ascii="黑体" w:hAnsi="黑体" w:eastAsia="黑体" w:cs="黑体"/>
          <w:kern w:val="0"/>
        </w:rPr>
        <w:t>各课程知识点要求</w:t>
      </w:r>
    </w:p>
    <w:p>
      <w:pPr>
        <w:pStyle w:val="29"/>
        <w:numPr>
          <w:ilvl w:val="0"/>
          <w:numId w:val="0"/>
        </w:numPr>
        <w:spacing w:after="156" w:afterLines="50"/>
        <w:ind w:leftChars="0"/>
        <w:rPr>
          <w:rFonts w:hint="eastAsia" w:ascii="黑体" w:hAnsi="黑体" w:eastAsia="黑体" w:cs="黑体"/>
          <w:kern w:val="0"/>
        </w:rPr>
      </w:pPr>
      <w:r>
        <w:rPr>
          <w:rFonts w:hint="eastAsia" w:ascii="黑体" w:hAnsi="黑体" w:eastAsia="黑体" w:cs="黑体"/>
          <w:kern w:val="0"/>
          <w:lang w:val="en-US" w:eastAsia="zh-CN"/>
        </w:rPr>
        <w:t>D.3.1</w:t>
      </w:r>
      <w:r>
        <w:rPr>
          <w:rFonts w:hint="eastAsia" w:ascii="黑体" w:hAnsi="黑体" w:eastAsia="黑体" w:cs="黑体"/>
          <w:kern w:val="0"/>
        </w:rPr>
        <w:t xml:space="preserve"> 物联网安全基础</w:t>
      </w:r>
    </w:p>
    <w:p>
      <w:pPr>
        <w:pStyle w:val="29"/>
        <w:numPr>
          <w:ilvl w:val="0"/>
          <w:numId w:val="0"/>
        </w:numPr>
        <w:spacing w:after="156" w:afterLines="50"/>
        <w:ind w:leftChars="0"/>
        <w:jc w:val="center"/>
        <w:rPr>
          <w:rFonts w:hint="eastAsia" w:ascii="黑体" w:hAnsi="黑体" w:eastAsia="黑体" w:cs="黑体"/>
          <w:kern w:val="0"/>
          <w:lang w:val="en-US" w:eastAsia="zh-CN"/>
        </w:rPr>
      </w:pPr>
      <w:r>
        <w:rPr>
          <w:rFonts w:hint="eastAsia" w:ascii="黑体" w:hAnsi="黑体" w:eastAsia="黑体" w:cs="黑体"/>
          <w:kern w:val="0"/>
          <w:lang w:val="en-US" w:eastAsia="zh-CN"/>
        </w:rPr>
        <w:t>表D.2</w:t>
      </w:r>
      <w:r>
        <w:rPr>
          <w:rFonts w:hint="eastAsia" w:ascii="黑体" w:hAnsi="黑体" w:eastAsia="黑体" w:cs="黑体"/>
          <w:kern w:val="0"/>
        </w:rPr>
        <w:t xml:space="preserve"> 物联网安全基础</w:t>
      </w:r>
      <w:r>
        <w:rPr>
          <w:rFonts w:hint="eastAsia" w:ascii="黑体" w:hAnsi="黑体" w:eastAsia="黑体" w:cs="黑体"/>
          <w:kern w:val="0"/>
          <w:lang w:eastAsia="zh-CN"/>
        </w:rPr>
        <w:t>课程内容与要求</w:t>
      </w:r>
    </w:p>
    <w:tbl>
      <w:tblPr>
        <w:tblStyle w:val="21"/>
        <w:tblW w:w="9300"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759"/>
        <w:gridCol w:w="4219"/>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37"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759"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219"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38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5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物联网安全概述</w:t>
            </w:r>
          </w:p>
        </w:tc>
        <w:tc>
          <w:tcPr>
            <w:tcW w:w="4219" w:type="dxa"/>
            <w:vAlign w:val="center"/>
          </w:tcPr>
          <w:p>
            <w:pPr>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了解</w:t>
            </w:r>
            <w:r>
              <w:rPr>
                <w:rFonts w:hint="eastAsia" w:ascii="宋体" w:hAnsi="宋体" w:eastAsia="宋体" w:cs="宋体"/>
                <w:kern w:val="0"/>
                <w:sz w:val="18"/>
                <w:szCs w:val="18"/>
              </w:rPr>
              <w:t>物联网发展过程，理解物联网生态，物联网安全模型以及安全特性。</w:t>
            </w:r>
          </w:p>
        </w:tc>
        <w:tc>
          <w:tcPr>
            <w:tcW w:w="2385" w:type="dxa"/>
            <w:vMerge w:val="restart"/>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《物联网安全》（网络空间安全技术丛书）、《物联网渗透测试》</w:t>
            </w:r>
            <w:r>
              <w:rPr>
                <w:rFonts w:hint="eastAsia" w:ascii="宋体" w:hAnsi="宋体" w:cs="宋体"/>
                <w:kern w:val="0"/>
                <w:sz w:val="18"/>
                <w:szCs w:val="18"/>
                <w:lang w:eastAsia="zh-CN"/>
              </w:rPr>
              <w:t>（</w:t>
            </w:r>
            <w:r>
              <w:rPr>
                <w:rFonts w:hint="eastAsia" w:ascii="宋体" w:hAnsi="宋体" w:eastAsia="宋体" w:cs="宋体"/>
                <w:kern w:val="0"/>
                <w:sz w:val="18"/>
                <w:szCs w:val="18"/>
              </w:rPr>
              <w:t>网络空间安全技术丛书</w:t>
            </w:r>
            <w:r>
              <w:rPr>
                <w:rFonts w:hint="eastAsia" w:ascii="宋体" w:hAnsi="宋体" w:cs="宋体"/>
                <w:kern w:val="0"/>
                <w:sz w:val="18"/>
                <w:szCs w:val="18"/>
                <w:lang w:eastAsia="zh-CN"/>
              </w:rPr>
              <w:t>）</w:t>
            </w:r>
            <w:r>
              <w:rPr>
                <w:rFonts w:hint="eastAsia" w:ascii="宋体" w:hAnsi="宋体" w:eastAsia="宋体" w:cs="宋体"/>
                <w:kern w:val="0"/>
                <w:sz w:val="18"/>
                <w:szCs w:val="18"/>
              </w:rPr>
              <w:t>、《物联网安全技术》（物联网工程规划教材）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5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物联网密码学基础</w:t>
            </w:r>
          </w:p>
        </w:tc>
        <w:tc>
          <w:tcPr>
            <w:tcW w:w="421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密钥学、密钥管理等相关知识，理解几种典型的密钥管理方案，评估方案优缺点。</w:t>
            </w:r>
          </w:p>
        </w:tc>
        <w:tc>
          <w:tcPr>
            <w:tcW w:w="2385"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5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物联网设备安全开发方法</w:t>
            </w:r>
          </w:p>
        </w:tc>
        <w:tc>
          <w:tcPr>
            <w:tcW w:w="421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理解物联网设备安全设计和部署采用的各种工程方法。</w:t>
            </w:r>
          </w:p>
        </w:tc>
        <w:tc>
          <w:tcPr>
            <w:tcW w:w="2385"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75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物联网漏洞、攻击及其应对措施</w:t>
            </w:r>
          </w:p>
        </w:tc>
        <w:tc>
          <w:tcPr>
            <w:tcW w:w="4219"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理解物联网面临的各种威胁以及应对措施。</w:t>
            </w:r>
          </w:p>
        </w:tc>
        <w:tc>
          <w:tcPr>
            <w:tcW w:w="2385" w:type="dxa"/>
            <w:vMerge w:val="continue"/>
            <w:vAlign w:val="center"/>
          </w:tcPr>
          <w:p>
            <w:pPr>
              <w:pStyle w:val="29"/>
              <w:ind w:firstLine="0" w:firstLineChars="0"/>
              <w:jc w:val="center"/>
              <w:rPr>
                <w:rFonts w:hint="eastAsia" w:ascii="宋体" w:hAnsi="宋体" w:eastAsia="宋体" w:cs="宋体"/>
                <w:kern w:val="0"/>
                <w:sz w:val="18"/>
                <w:szCs w:val="18"/>
              </w:rPr>
            </w:pPr>
          </w:p>
        </w:tc>
      </w:tr>
    </w:tbl>
    <w:p>
      <w:pPr>
        <w:pStyle w:val="29"/>
        <w:ind w:left="380" w:firstLine="0" w:firstLineChars="0"/>
        <w:rPr>
          <w:kern w:val="0"/>
        </w:rPr>
      </w:pPr>
    </w:p>
    <w:p>
      <w:pPr>
        <w:pStyle w:val="29"/>
        <w:keepNext w:val="0"/>
        <w:keepLines w:val="0"/>
        <w:pageBreakBefore w:val="0"/>
        <w:widowControl w:val="0"/>
        <w:kinsoku/>
        <w:wordWrap/>
        <w:overflowPunct/>
        <w:topLinePunct w:val="0"/>
        <w:autoSpaceDE/>
        <w:autoSpaceDN/>
        <w:bidi w:val="0"/>
        <w:adjustRightInd/>
        <w:snapToGrid/>
        <w:spacing w:after="160" w:afterLines="50"/>
        <w:ind w:left="0" w:leftChars="0" w:firstLine="0" w:firstLineChars="0"/>
        <w:textAlignment w:val="auto"/>
        <w:rPr>
          <w:rFonts w:hint="eastAsia" w:ascii="黑体" w:hAnsi="黑体" w:eastAsia="黑体" w:cs="黑体"/>
          <w:kern w:val="0"/>
        </w:rPr>
      </w:pPr>
      <w:r>
        <w:rPr>
          <w:rFonts w:hint="eastAsia" w:ascii="黑体" w:hAnsi="黑体" w:eastAsia="黑体" w:cs="黑体"/>
          <w:kern w:val="0"/>
          <w:lang w:val="en-US" w:eastAsia="zh-CN"/>
        </w:rPr>
        <w:t xml:space="preserve">D.3.2 </w:t>
      </w:r>
      <w:r>
        <w:rPr>
          <w:rFonts w:hint="eastAsia" w:ascii="黑体" w:hAnsi="黑体" w:eastAsia="黑体" w:cs="黑体"/>
          <w:kern w:val="0"/>
        </w:rPr>
        <w:t xml:space="preserve"> 物联网安全系统规划与实现</w:t>
      </w:r>
    </w:p>
    <w:p>
      <w:pPr>
        <w:pStyle w:val="29"/>
        <w:keepNext w:val="0"/>
        <w:keepLines w:val="0"/>
        <w:pageBreakBefore w:val="0"/>
        <w:widowControl w:val="0"/>
        <w:kinsoku/>
        <w:wordWrap/>
        <w:overflowPunct/>
        <w:topLinePunct w:val="0"/>
        <w:autoSpaceDE/>
        <w:autoSpaceDN/>
        <w:bidi w:val="0"/>
        <w:adjustRightInd/>
        <w:snapToGrid/>
        <w:spacing w:after="160" w:afterLines="50"/>
        <w:ind w:left="0" w:leftChars="0" w:firstLine="0" w:firstLineChars="0"/>
        <w:jc w:val="center"/>
        <w:textAlignment w:val="auto"/>
        <w:rPr>
          <w:rFonts w:hint="eastAsia" w:ascii="黑体" w:hAnsi="黑体" w:eastAsia="黑体" w:cs="黑体"/>
          <w:kern w:val="0"/>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D.3 </w:t>
      </w:r>
      <w:r>
        <w:rPr>
          <w:rFonts w:hint="eastAsia" w:ascii="黑体" w:hAnsi="黑体" w:eastAsia="黑体" w:cs="黑体"/>
          <w:kern w:val="0"/>
        </w:rPr>
        <w:t>物联网安全系统规划与实现</w:t>
      </w:r>
    </w:p>
    <w:tbl>
      <w:tblPr>
        <w:tblStyle w:val="21"/>
        <w:tblW w:w="927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958"/>
        <w:gridCol w:w="421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907"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958"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21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19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物联网安全设计方法</w:t>
            </w:r>
          </w:p>
        </w:tc>
        <w:tc>
          <w:tcPr>
            <w:tcW w:w="4215" w:type="dxa"/>
            <w:vAlign w:val="center"/>
          </w:tcPr>
          <w:p>
            <w:pPr>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掌握物联网设备的安全设计方法，理解物联网安全的设计目标。</w:t>
            </w:r>
          </w:p>
        </w:tc>
        <w:tc>
          <w:tcPr>
            <w:tcW w:w="2190" w:type="dxa"/>
            <w:vMerge w:val="restart"/>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《物联网安全》（网络空间安全技术丛书）、《物联网渗透测试》（网络空间安全技术丛书）、《物联网安全技术》（物联网工程规划教材）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物联网接入安全设计</w:t>
            </w:r>
          </w:p>
        </w:tc>
        <w:tc>
          <w:tcPr>
            <w:tcW w:w="4215" w:type="dxa"/>
            <w:vAlign w:val="center"/>
          </w:tcPr>
          <w:p>
            <w:pPr>
              <w:pStyle w:val="29"/>
              <w:ind w:firstLine="0" w:firstLineChars="0"/>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理解物联网身份识别和访问控制管理机制，理解物联网设备授权和访问控制的设计方法。</w:t>
            </w:r>
          </w:p>
        </w:tc>
        <w:tc>
          <w:tcPr>
            <w:tcW w:w="2190"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物联网安全机制设计</w:t>
            </w:r>
          </w:p>
        </w:tc>
        <w:tc>
          <w:tcPr>
            <w:tcW w:w="4215" w:type="dxa"/>
            <w:vAlign w:val="center"/>
          </w:tcPr>
          <w:p>
            <w:pPr>
              <w:pStyle w:val="29"/>
              <w:ind w:firstLine="0" w:firstLineChars="0"/>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掌握物联网安全路由、物联网安全时间同步、物联网安全数据融合等设计方法。</w:t>
            </w:r>
          </w:p>
        </w:tc>
        <w:tc>
          <w:tcPr>
            <w:tcW w:w="2190"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物联网安全访问控制策略设计</w:t>
            </w:r>
          </w:p>
        </w:tc>
        <w:tc>
          <w:tcPr>
            <w:tcW w:w="4215" w:type="dxa"/>
            <w:vAlign w:val="center"/>
          </w:tcPr>
          <w:p>
            <w:pPr>
              <w:pStyle w:val="29"/>
              <w:ind w:firstLine="0" w:firstLineChars="0"/>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掌握物联网访问控制策略的特点，理解当前物联网安全访问控制策略的设计。</w:t>
            </w:r>
          </w:p>
        </w:tc>
        <w:tc>
          <w:tcPr>
            <w:tcW w:w="2190"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物联网云端安全设计</w:t>
            </w:r>
          </w:p>
        </w:tc>
        <w:tc>
          <w:tcPr>
            <w:tcW w:w="4215" w:type="dxa"/>
            <w:vAlign w:val="center"/>
          </w:tcPr>
          <w:p>
            <w:pPr>
              <w:pStyle w:val="29"/>
              <w:ind w:firstLine="0" w:firstLineChars="0"/>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掌握物联网云端安全机制，理解云计算、雾计算以及物联网云服务上的安全策略设计。</w:t>
            </w:r>
          </w:p>
        </w:tc>
        <w:tc>
          <w:tcPr>
            <w:tcW w:w="2190"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958"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物联网安全系统实现</w:t>
            </w:r>
          </w:p>
        </w:tc>
        <w:tc>
          <w:tcPr>
            <w:tcW w:w="4215" w:type="dxa"/>
            <w:vAlign w:val="center"/>
          </w:tcPr>
          <w:p>
            <w:pPr>
              <w:pStyle w:val="29"/>
              <w:ind w:firstLine="0" w:firstLineChars="0"/>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掌握物联网安全系统设计流程，理解物联网安全平台使用的各种安全机制及其实施。</w:t>
            </w:r>
          </w:p>
        </w:tc>
        <w:tc>
          <w:tcPr>
            <w:tcW w:w="2190" w:type="dxa"/>
            <w:vMerge w:val="continue"/>
            <w:vAlign w:val="center"/>
          </w:tcPr>
          <w:p>
            <w:pPr>
              <w:pStyle w:val="29"/>
              <w:ind w:firstLine="0" w:firstLineChars="0"/>
              <w:jc w:val="center"/>
              <w:rPr>
                <w:rFonts w:hint="eastAsia" w:ascii="宋体" w:hAnsi="宋体" w:eastAsia="宋体" w:cs="宋体"/>
                <w:kern w:val="0"/>
                <w:sz w:val="18"/>
                <w:szCs w:val="18"/>
              </w:rPr>
            </w:pPr>
          </w:p>
        </w:tc>
      </w:tr>
    </w:tbl>
    <w:p>
      <w:pPr>
        <w:pStyle w:val="29"/>
        <w:keepNext w:val="0"/>
        <w:keepLines w:val="0"/>
        <w:pageBreakBefore w:val="0"/>
        <w:widowControl w:val="0"/>
        <w:kinsoku/>
        <w:wordWrap/>
        <w:overflowPunct/>
        <w:topLinePunct w:val="0"/>
        <w:autoSpaceDE/>
        <w:autoSpaceDN/>
        <w:bidi w:val="0"/>
        <w:adjustRightInd/>
        <w:snapToGrid/>
        <w:spacing w:before="160" w:beforeLines="50" w:after="160" w:afterLines="50"/>
        <w:ind w:left="178" w:leftChars="0" w:hanging="178" w:hangingChars="85"/>
        <w:textAlignment w:val="auto"/>
        <w:rPr>
          <w:rFonts w:hint="eastAsia" w:ascii="黑体" w:hAnsi="黑体" w:eastAsia="黑体" w:cs="黑体"/>
          <w:kern w:val="0"/>
        </w:rPr>
      </w:pPr>
      <w:r>
        <w:rPr>
          <w:rFonts w:hint="eastAsia" w:ascii="黑体" w:hAnsi="黑体" w:eastAsia="黑体" w:cs="黑体"/>
          <w:kern w:val="0"/>
          <w:lang w:val="en-US" w:eastAsia="zh-CN"/>
        </w:rPr>
        <w:t xml:space="preserve">D.3.3 </w:t>
      </w:r>
      <w:r>
        <w:rPr>
          <w:rFonts w:hint="eastAsia" w:ascii="黑体" w:hAnsi="黑体" w:eastAsia="黑体" w:cs="黑体"/>
          <w:kern w:val="0"/>
        </w:rPr>
        <w:t xml:space="preserve"> 物联网安全管理与运维</w:t>
      </w:r>
    </w:p>
    <w:p>
      <w:pPr>
        <w:pStyle w:val="29"/>
        <w:keepNext w:val="0"/>
        <w:keepLines w:val="0"/>
        <w:pageBreakBefore w:val="0"/>
        <w:widowControl w:val="0"/>
        <w:kinsoku/>
        <w:wordWrap/>
        <w:overflowPunct/>
        <w:topLinePunct w:val="0"/>
        <w:autoSpaceDE/>
        <w:autoSpaceDN/>
        <w:bidi w:val="0"/>
        <w:adjustRightInd/>
        <w:snapToGrid/>
        <w:spacing w:before="160" w:beforeLines="50" w:after="160" w:afterLines="50"/>
        <w:ind w:left="178" w:leftChars="0" w:hanging="178" w:hangingChars="85"/>
        <w:jc w:val="center"/>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 xml:space="preserve">表 D.4 </w:t>
      </w:r>
      <w:r>
        <w:rPr>
          <w:rFonts w:hint="eastAsia" w:ascii="黑体" w:hAnsi="黑体" w:eastAsia="黑体" w:cs="黑体"/>
          <w:kern w:val="0"/>
        </w:rPr>
        <w:t>物联网安全管理与运维</w:t>
      </w:r>
      <w:r>
        <w:rPr>
          <w:rFonts w:hint="eastAsia" w:ascii="黑体" w:hAnsi="黑体" w:eastAsia="黑体" w:cs="黑体"/>
          <w:kern w:val="0"/>
          <w:lang w:eastAsia="zh-CN"/>
        </w:rPr>
        <w:t>课程内容与要求</w:t>
      </w:r>
    </w:p>
    <w:tbl>
      <w:tblPr>
        <w:tblStyle w:val="21"/>
        <w:tblW w:w="92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580"/>
        <w:gridCol w:w="390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91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58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390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862"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5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物联网系统风险评估</w:t>
            </w:r>
          </w:p>
        </w:tc>
        <w:tc>
          <w:tcPr>
            <w:tcW w:w="3900" w:type="dxa"/>
            <w:vAlign w:val="center"/>
          </w:tcPr>
          <w:p>
            <w:pPr>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了解</w:t>
            </w:r>
            <w:r>
              <w:rPr>
                <w:rFonts w:hint="eastAsia" w:ascii="宋体" w:hAnsi="宋体" w:eastAsia="宋体" w:cs="宋体"/>
                <w:kern w:val="0"/>
                <w:sz w:val="18"/>
                <w:szCs w:val="18"/>
              </w:rPr>
              <w:t>物联网隐私相应评估指南，隐私保护设计原则等</w:t>
            </w:r>
          </w:p>
        </w:tc>
        <w:tc>
          <w:tcPr>
            <w:tcW w:w="1862" w:type="dxa"/>
            <w:vMerge w:val="restart"/>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《物联网安全》（网络空间安全技术丛书）、《物联网渗透测试》（网络空间安全技术丛书）、《物联网安全技术》（物联网工程规划教材）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5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物联网系统合规性监管</w:t>
            </w:r>
          </w:p>
        </w:tc>
        <w:tc>
          <w:tcPr>
            <w:tcW w:w="3900"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掌握</w:t>
            </w:r>
            <w:r>
              <w:rPr>
                <w:rFonts w:hint="eastAsia" w:ascii="宋体" w:hAnsi="宋体" w:eastAsia="宋体" w:cs="宋体"/>
                <w:kern w:val="0"/>
                <w:sz w:val="18"/>
                <w:szCs w:val="18"/>
              </w:rPr>
              <w:t>物联网设备合规性监管及制定物联网合规程度的方法，掌握构建或调整物联网合规性监管方法。</w:t>
            </w:r>
          </w:p>
        </w:tc>
        <w:tc>
          <w:tcPr>
            <w:tcW w:w="1862"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5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物联网安全事件管理与取证</w:t>
            </w:r>
          </w:p>
        </w:tc>
        <w:tc>
          <w:tcPr>
            <w:tcW w:w="3900"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掌握</w:t>
            </w:r>
            <w:r>
              <w:rPr>
                <w:rFonts w:hint="eastAsia" w:ascii="宋体" w:hAnsi="宋体" w:eastAsia="宋体" w:cs="宋体"/>
                <w:kern w:val="0"/>
                <w:sz w:val="18"/>
                <w:szCs w:val="18"/>
              </w:rPr>
              <w:t>物联网安全事件管理内容，理解物联网事件响应方法的制定、规划与实施，检测与分析以及取证等解决办法。</w:t>
            </w:r>
          </w:p>
        </w:tc>
        <w:tc>
          <w:tcPr>
            <w:tcW w:w="1862"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58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物联网安全运维</w:t>
            </w:r>
          </w:p>
        </w:tc>
        <w:tc>
          <w:tcPr>
            <w:tcW w:w="3900"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了解</w:t>
            </w:r>
            <w:r>
              <w:rPr>
                <w:rFonts w:hint="eastAsia" w:ascii="宋体" w:hAnsi="宋体" w:eastAsia="宋体" w:cs="宋体"/>
                <w:kern w:val="0"/>
                <w:sz w:val="18"/>
                <w:szCs w:val="18"/>
              </w:rPr>
              <w:t>物联网系统安全生命周期，理解物联网安全规划、部署、管理、监控与检测、修复与处置等方面的运维方法。</w:t>
            </w:r>
          </w:p>
        </w:tc>
        <w:tc>
          <w:tcPr>
            <w:tcW w:w="1862" w:type="dxa"/>
            <w:vMerge w:val="continue"/>
            <w:vAlign w:val="center"/>
          </w:tcPr>
          <w:p>
            <w:pPr>
              <w:pStyle w:val="29"/>
              <w:ind w:firstLine="0" w:firstLineChars="0"/>
              <w:jc w:val="center"/>
              <w:rPr>
                <w:rFonts w:hint="eastAsia" w:ascii="宋体" w:hAnsi="宋体" w:eastAsia="宋体" w:cs="宋体"/>
                <w:kern w:val="0"/>
                <w:sz w:val="18"/>
                <w:szCs w:val="18"/>
              </w:rPr>
            </w:pPr>
          </w:p>
        </w:tc>
      </w:tr>
    </w:tbl>
    <w:p>
      <w:pPr>
        <w:pStyle w:val="29"/>
        <w:ind w:left="380" w:firstLine="0" w:firstLineChars="0"/>
        <w:rPr>
          <w:kern w:val="0"/>
        </w:rPr>
      </w:pP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kern w:val="0"/>
        </w:rPr>
      </w:pPr>
      <w:r>
        <w:rPr>
          <w:rFonts w:hint="eastAsia" w:ascii="黑体" w:hAnsi="黑体" w:eastAsia="黑体" w:cs="黑体"/>
          <w:kern w:val="0"/>
          <w:lang w:val="en-US" w:eastAsia="zh-CN"/>
        </w:rPr>
        <w:t>D.3.4</w:t>
      </w:r>
      <w:r>
        <w:rPr>
          <w:rFonts w:hint="eastAsia" w:ascii="黑体" w:hAnsi="黑体" w:eastAsia="黑体" w:cs="黑体"/>
          <w:kern w:val="0"/>
        </w:rPr>
        <w:t xml:space="preserve"> 物联网渗透测试</w:t>
      </w: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D.5 </w:t>
      </w:r>
      <w:r>
        <w:rPr>
          <w:rFonts w:hint="eastAsia" w:ascii="黑体" w:hAnsi="黑体" w:eastAsia="黑体" w:cs="黑体"/>
          <w:kern w:val="0"/>
        </w:rPr>
        <w:t>物联网渗透测试</w:t>
      </w:r>
      <w:r>
        <w:rPr>
          <w:rFonts w:hint="eastAsia" w:ascii="黑体" w:hAnsi="黑体" w:eastAsia="黑体" w:cs="黑体"/>
          <w:kern w:val="0"/>
          <w:lang w:eastAsia="zh-CN"/>
        </w:rPr>
        <w:t>课程内容与要求</w:t>
      </w:r>
    </w:p>
    <w:tbl>
      <w:tblPr>
        <w:tblStyle w:val="21"/>
        <w:tblW w:w="927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905"/>
        <w:gridCol w:w="444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99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90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44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93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905"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H</w:t>
            </w:r>
            <w:r>
              <w:rPr>
                <w:rFonts w:hint="eastAsia" w:ascii="宋体" w:hAnsi="宋体" w:eastAsia="宋体" w:cs="宋体"/>
                <w:kern w:val="0"/>
                <w:sz w:val="18"/>
                <w:szCs w:val="18"/>
              </w:rPr>
              <w:t>oT渗透测试基础</w:t>
            </w:r>
          </w:p>
        </w:tc>
        <w:tc>
          <w:tcPr>
            <w:tcW w:w="4440" w:type="dxa"/>
            <w:vAlign w:val="center"/>
          </w:tcPr>
          <w:p>
            <w:pPr>
              <w:pStyle w:val="29"/>
              <w:ind w:firstLine="0" w:firstLineChars="0"/>
              <w:jc w:val="left"/>
              <w:rPr>
                <w:rFonts w:hint="eastAsia" w:ascii="宋体" w:hAnsi="宋体" w:cs="宋体"/>
                <w:kern w:val="0"/>
                <w:sz w:val="18"/>
                <w:szCs w:val="18"/>
                <w:lang w:eastAsia="zh-CN"/>
              </w:rPr>
            </w:pPr>
            <w:r>
              <w:rPr>
                <w:rFonts w:hint="eastAsia" w:ascii="宋体" w:hAnsi="宋体" w:cs="宋体"/>
                <w:kern w:val="0"/>
                <w:sz w:val="18"/>
                <w:szCs w:val="18"/>
                <w:lang w:eastAsia="zh-CN"/>
              </w:rPr>
              <w:t>掌握开展HoT渗透测试的基础知识，掌握HoT渗透测试环境的部署。</w:t>
            </w:r>
          </w:p>
        </w:tc>
        <w:tc>
          <w:tcPr>
            <w:tcW w:w="1935" w:type="dxa"/>
            <w:vMerge w:val="restart"/>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《物联网安全》（网络空间安全技术丛书）、《物联网渗透测试》（网络空间安全技术丛书）、《物联网安全技术》（物联网工程规划教材）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905"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H</w:t>
            </w:r>
            <w:r>
              <w:rPr>
                <w:rFonts w:hint="eastAsia" w:ascii="宋体" w:hAnsi="宋体" w:eastAsia="宋体" w:cs="宋体"/>
                <w:kern w:val="0"/>
                <w:sz w:val="18"/>
                <w:szCs w:val="18"/>
              </w:rPr>
              <w:t>oT威胁建模</w:t>
            </w:r>
          </w:p>
        </w:tc>
        <w:tc>
          <w:tcPr>
            <w:tcW w:w="4440" w:type="dxa"/>
            <w:vAlign w:val="center"/>
          </w:tcPr>
          <w:p>
            <w:pPr>
              <w:pStyle w:val="29"/>
              <w:ind w:firstLine="0" w:firstLineChars="0"/>
              <w:jc w:val="left"/>
              <w:rPr>
                <w:rFonts w:hint="eastAsia" w:ascii="宋体" w:hAnsi="宋体" w:cs="宋体"/>
                <w:kern w:val="0"/>
                <w:sz w:val="18"/>
                <w:szCs w:val="18"/>
                <w:lang w:eastAsia="zh-CN"/>
              </w:rPr>
            </w:pPr>
            <w:r>
              <w:rPr>
                <w:rFonts w:hint="eastAsia" w:ascii="宋体" w:hAnsi="宋体" w:cs="宋体"/>
                <w:kern w:val="0"/>
                <w:sz w:val="18"/>
                <w:szCs w:val="18"/>
                <w:lang w:eastAsia="zh-CN"/>
              </w:rPr>
              <w:t>掌握HoT威胁建模概念及方法，掌握HoT Web应用、移动应用、设备硬件以及无线电通信的威胁建模。</w:t>
            </w:r>
          </w:p>
        </w:tc>
        <w:tc>
          <w:tcPr>
            <w:tcW w:w="1935"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905"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固件分析与漏洞利用</w:t>
            </w:r>
          </w:p>
        </w:tc>
        <w:tc>
          <w:tcPr>
            <w:tcW w:w="4440" w:type="dxa"/>
            <w:vAlign w:val="center"/>
          </w:tcPr>
          <w:p>
            <w:pPr>
              <w:pStyle w:val="29"/>
              <w:ind w:firstLine="0" w:firstLineChars="0"/>
              <w:jc w:val="left"/>
              <w:rPr>
                <w:rFonts w:hint="eastAsia" w:ascii="宋体" w:hAnsi="宋体" w:cs="宋体"/>
                <w:kern w:val="0"/>
                <w:sz w:val="18"/>
                <w:szCs w:val="18"/>
                <w:lang w:eastAsia="zh-CN"/>
              </w:rPr>
            </w:pPr>
            <w:r>
              <w:rPr>
                <w:rFonts w:hint="eastAsia" w:ascii="宋体" w:hAnsi="宋体" w:cs="宋体"/>
                <w:kern w:val="0"/>
                <w:sz w:val="18"/>
                <w:szCs w:val="18"/>
                <w:lang w:eastAsia="zh-CN"/>
              </w:rPr>
              <w:t>理解固件分析方法、固件提取、固件分析文件系统分析等内容。重点掌握握HoT Web应用、移动应用漏洞利用。</w:t>
            </w:r>
          </w:p>
        </w:tc>
        <w:tc>
          <w:tcPr>
            <w:tcW w:w="1935"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905"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H</w:t>
            </w:r>
            <w:r>
              <w:rPr>
                <w:rFonts w:hint="eastAsia" w:ascii="宋体" w:hAnsi="宋体" w:eastAsia="宋体" w:cs="宋体"/>
                <w:kern w:val="0"/>
                <w:sz w:val="18"/>
                <w:szCs w:val="18"/>
              </w:rPr>
              <w:t>oT设备攻击技术</w:t>
            </w:r>
          </w:p>
        </w:tc>
        <w:tc>
          <w:tcPr>
            <w:tcW w:w="4440" w:type="dxa"/>
            <w:vAlign w:val="center"/>
          </w:tcPr>
          <w:p>
            <w:pPr>
              <w:pStyle w:val="29"/>
              <w:ind w:firstLine="0" w:firstLineChars="0"/>
              <w:jc w:val="left"/>
              <w:rPr>
                <w:rFonts w:hint="eastAsia" w:ascii="宋体" w:hAnsi="宋体" w:cs="宋体"/>
                <w:kern w:val="0"/>
                <w:sz w:val="18"/>
                <w:szCs w:val="18"/>
                <w:lang w:eastAsia="zh-CN"/>
              </w:rPr>
            </w:pPr>
            <w:r>
              <w:rPr>
                <w:rFonts w:hint="eastAsia" w:ascii="宋体" w:hAnsi="宋体" w:cs="宋体"/>
                <w:kern w:val="0"/>
                <w:sz w:val="18"/>
                <w:szCs w:val="18"/>
                <w:lang w:eastAsia="zh-CN"/>
              </w:rPr>
              <w:t>理解HoT设备硬件攻击方法以及分析技术、无线电攻击技术等，理解HoT设备中漏洞挖掘与利用。</w:t>
            </w:r>
          </w:p>
        </w:tc>
        <w:tc>
          <w:tcPr>
            <w:tcW w:w="1935" w:type="dxa"/>
            <w:vMerge w:val="continue"/>
            <w:vAlign w:val="center"/>
          </w:tcPr>
          <w:p>
            <w:pPr>
              <w:pStyle w:val="29"/>
              <w:ind w:firstLine="0" w:firstLineChars="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905" w:type="dxa"/>
            <w:vAlign w:val="center"/>
          </w:tcPr>
          <w:p>
            <w:pPr>
              <w:pStyle w:val="29"/>
              <w:ind w:firstLine="0" w:firstLineChars="0"/>
              <w:jc w:val="left"/>
              <w:rPr>
                <w:rFonts w:hint="eastAsia" w:ascii="宋体" w:hAnsi="宋体" w:eastAsia="宋体" w:cs="宋体"/>
                <w:kern w:val="0"/>
                <w:sz w:val="18"/>
                <w:szCs w:val="18"/>
              </w:rPr>
            </w:pPr>
            <w:r>
              <w:rPr>
                <w:rFonts w:hint="eastAsia" w:ascii="宋体" w:hAnsi="宋体" w:cs="宋体"/>
                <w:kern w:val="0"/>
                <w:sz w:val="18"/>
                <w:szCs w:val="18"/>
                <w:lang w:eastAsia="zh-CN"/>
              </w:rPr>
              <w:t>H</w:t>
            </w:r>
            <w:r>
              <w:rPr>
                <w:rFonts w:hint="eastAsia" w:ascii="宋体" w:hAnsi="宋体" w:eastAsia="宋体" w:cs="宋体"/>
                <w:kern w:val="0"/>
                <w:sz w:val="18"/>
                <w:szCs w:val="18"/>
              </w:rPr>
              <w:t>oT自动化防护</w:t>
            </w:r>
          </w:p>
        </w:tc>
        <w:tc>
          <w:tcPr>
            <w:tcW w:w="4440" w:type="dxa"/>
            <w:vAlign w:val="center"/>
          </w:tcPr>
          <w:p>
            <w:pPr>
              <w:pStyle w:val="29"/>
              <w:ind w:firstLine="0" w:firstLineChars="0"/>
              <w:jc w:val="left"/>
              <w:rPr>
                <w:rFonts w:hint="eastAsia" w:ascii="宋体" w:hAnsi="宋体" w:cs="宋体"/>
                <w:kern w:val="0"/>
                <w:sz w:val="18"/>
                <w:szCs w:val="18"/>
                <w:lang w:eastAsia="zh-CN"/>
              </w:rPr>
            </w:pPr>
            <w:r>
              <w:rPr>
                <w:rFonts w:hint="eastAsia" w:ascii="宋体" w:hAnsi="宋体" w:cs="宋体"/>
                <w:kern w:val="0"/>
                <w:sz w:val="18"/>
                <w:szCs w:val="18"/>
                <w:lang w:eastAsia="zh-CN"/>
              </w:rPr>
              <w:t>理解HoT设备中高级漏洞利用技术，掌握采用自动化方法避免HoT设备出现漏洞。</w:t>
            </w:r>
          </w:p>
        </w:tc>
        <w:tc>
          <w:tcPr>
            <w:tcW w:w="1935" w:type="dxa"/>
            <w:vMerge w:val="continue"/>
            <w:vAlign w:val="center"/>
          </w:tcPr>
          <w:p>
            <w:pPr>
              <w:pStyle w:val="29"/>
              <w:ind w:firstLine="0" w:firstLineChars="0"/>
              <w:jc w:val="center"/>
              <w:rPr>
                <w:rFonts w:hint="eastAsia" w:ascii="宋体" w:hAnsi="宋体" w:eastAsia="宋体" w:cs="宋体"/>
                <w:kern w:val="0"/>
                <w:sz w:val="18"/>
                <w:szCs w:val="18"/>
              </w:rPr>
            </w:pPr>
          </w:p>
        </w:tc>
      </w:tr>
    </w:tbl>
    <w:p>
      <w:pPr>
        <w:pStyle w:val="29"/>
        <w:ind w:left="380" w:firstLine="0" w:firstLineChars="0"/>
        <w:rPr>
          <w:kern w:val="0"/>
        </w:rPr>
      </w:pP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kern w:val="0"/>
        </w:rPr>
      </w:pPr>
      <w:r>
        <w:rPr>
          <w:rFonts w:hint="eastAsia" w:ascii="黑体" w:hAnsi="黑体" w:eastAsia="黑体" w:cs="黑体"/>
          <w:kern w:val="0"/>
          <w:lang w:val="en-US" w:eastAsia="zh-CN"/>
        </w:rPr>
        <w:t>D.3.5</w:t>
      </w:r>
      <w:r>
        <w:rPr>
          <w:rFonts w:hint="eastAsia" w:ascii="黑体" w:hAnsi="黑体" w:eastAsia="黑体" w:cs="黑体"/>
          <w:kern w:val="0"/>
        </w:rPr>
        <w:t xml:space="preserve"> 物联网安全职业素养</w:t>
      </w:r>
    </w:p>
    <w:p>
      <w:pPr>
        <w:pStyle w:val="29"/>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D.6 </w:t>
      </w:r>
      <w:r>
        <w:rPr>
          <w:rFonts w:hint="eastAsia" w:ascii="黑体" w:hAnsi="黑体" w:eastAsia="黑体" w:cs="黑体"/>
          <w:kern w:val="0"/>
        </w:rPr>
        <w:t>物联网安全职业素养</w:t>
      </w:r>
      <w:r>
        <w:rPr>
          <w:rFonts w:hint="eastAsia" w:ascii="黑体" w:hAnsi="黑体" w:eastAsia="黑体" w:cs="黑体"/>
          <w:kern w:val="0"/>
          <w:lang w:eastAsia="zh-CN"/>
        </w:rPr>
        <w:t>课程内容与要求</w:t>
      </w:r>
    </w:p>
    <w:tbl>
      <w:tblPr>
        <w:tblStyle w:val="21"/>
        <w:tblW w:w="9225"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010"/>
        <w:gridCol w:w="436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4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010"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36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905" w:type="dxa"/>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45" w:type="dxa"/>
            <w:vAlign w:val="center"/>
          </w:tcPr>
          <w:p>
            <w:pPr>
              <w:pStyle w:val="29"/>
              <w:ind w:firstLine="0" w:firstLineChars="0"/>
              <w:jc w:val="center"/>
              <w:rPr>
                <w:kern w:val="0"/>
                <w:sz w:val="18"/>
                <w:szCs w:val="18"/>
              </w:rPr>
            </w:pPr>
            <w:r>
              <w:rPr>
                <w:rFonts w:hint="eastAsia"/>
                <w:kern w:val="0"/>
                <w:sz w:val="18"/>
                <w:szCs w:val="18"/>
              </w:rPr>
              <w:t>1</w:t>
            </w:r>
          </w:p>
        </w:tc>
        <w:tc>
          <w:tcPr>
            <w:tcW w:w="2010" w:type="dxa"/>
            <w:vAlign w:val="center"/>
          </w:tcPr>
          <w:p>
            <w:pPr>
              <w:pStyle w:val="29"/>
              <w:ind w:firstLine="0" w:firstLineChars="0"/>
              <w:jc w:val="left"/>
              <w:rPr>
                <w:kern w:val="0"/>
                <w:sz w:val="18"/>
                <w:szCs w:val="18"/>
              </w:rPr>
            </w:pPr>
            <w:r>
              <w:rPr>
                <w:kern w:val="0"/>
                <w:sz w:val="18"/>
                <w:szCs w:val="18"/>
              </w:rPr>
              <w:t>网络安全法律法规</w:t>
            </w:r>
          </w:p>
        </w:tc>
        <w:tc>
          <w:tcPr>
            <w:tcW w:w="4365" w:type="dxa"/>
            <w:vAlign w:val="center"/>
          </w:tcPr>
          <w:p>
            <w:pPr>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理解国家网络、信息安全</w:t>
            </w:r>
            <w:r>
              <w:rPr>
                <w:rFonts w:hint="eastAsia" w:ascii="Times New Roman" w:hAnsi="Times New Roman" w:eastAsia="宋体" w:cs="Times New Roman"/>
                <w:kern w:val="0"/>
                <w:sz w:val="18"/>
                <w:szCs w:val="18"/>
                <w:lang w:eastAsia="zh-CN"/>
              </w:rPr>
              <w:t>相</w:t>
            </w:r>
            <w:r>
              <w:rPr>
                <w:rFonts w:ascii="Times New Roman" w:hAnsi="Times New Roman" w:eastAsia="宋体" w:cs="Times New Roman"/>
                <w:kern w:val="0"/>
                <w:sz w:val="18"/>
                <w:szCs w:val="18"/>
              </w:rPr>
              <w:t>法律法规。</w:t>
            </w:r>
          </w:p>
        </w:tc>
        <w:tc>
          <w:tcPr>
            <w:tcW w:w="1905" w:type="dxa"/>
            <w:vMerge w:val="restart"/>
            <w:vAlign w:val="center"/>
          </w:tcPr>
          <w:p>
            <w:pPr>
              <w:pStyle w:val="29"/>
              <w:ind w:firstLine="0" w:firstLineChars="0"/>
              <w:jc w:val="center"/>
              <w:rPr>
                <w:rFonts w:hint="eastAsia" w:eastAsia="宋体"/>
                <w:kern w:val="0"/>
                <w:sz w:val="18"/>
                <w:szCs w:val="18"/>
                <w:lang w:eastAsia="zh-CN"/>
              </w:rPr>
            </w:pPr>
            <w:r>
              <w:rPr>
                <w:rFonts w:hint="eastAsia"/>
                <w:kern w:val="0"/>
                <w:sz w:val="18"/>
                <w:szCs w:val="18"/>
                <w:lang w:eastAsia="zh-CN"/>
              </w:rPr>
              <w:t>《中华人民共和国网络安全法》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945" w:type="dxa"/>
            <w:vAlign w:val="center"/>
          </w:tcPr>
          <w:p>
            <w:pPr>
              <w:pStyle w:val="29"/>
              <w:ind w:firstLine="0" w:firstLineChars="0"/>
              <w:jc w:val="center"/>
              <w:rPr>
                <w:kern w:val="0"/>
                <w:sz w:val="18"/>
                <w:szCs w:val="18"/>
              </w:rPr>
            </w:pPr>
            <w:r>
              <w:rPr>
                <w:rFonts w:hint="eastAsia"/>
                <w:kern w:val="0"/>
                <w:sz w:val="18"/>
                <w:szCs w:val="18"/>
              </w:rPr>
              <w:t>2</w:t>
            </w:r>
          </w:p>
        </w:tc>
        <w:tc>
          <w:tcPr>
            <w:tcW w:w="2010" w:type="dxa"/>
            <w:vAlign w:val="center"/>
          </w:tcPr>
          <w:p>
            <w:pPr>
              <w:pStyle w:val="29"/>
              <w:ind w:firstLine="0" w:firstLineChars="0"/>
              <w:jc w:val="left"/>
              <w:rPr>
                <w:kern w:val="0"/>
                <w:sz w:val="18"/>
                <w:szCs w:val="18"/>
              </w:rPr>
            </w:pPr>
            <w:r>
              <w:rPr>
                <w:kern w:val="0"/>
                <w:sz w:val="18"/>
                <w:szCs w:val="18"/>
              </w:rPr>
              <w:t>物联网安全职业素养</w:t>
            </w:r>
          </w:p>
        </w:tc>
        <w:tc>
          <w:tcPr>
            <w:tcW w:w="4365" w:type="dxa"/>
            <w:vAlign w:val="center"/>
          </w:tcPr>
          <w:p>
            <w:pPr>
              <w:pStyle w:val="29"/>
              <w:ind w:firstLine="0" w:firstLineChars="0"/>
              <w:jc w:val="center"/>
              <w:rPr>
                <w:kern w:val="0"/>
                <w:sz w:val="18"/>
                <w:szCs w:val="18"/>
              </w:rPr>
            </w:pPr>
            <w:r>
              <w:rPr>
                <w:rFonts w:hint="eastAsia"/>
                <w:kern w:val="0"/>
                <w:sz w:val="18"/>
                <w:szCs w:val="18"/>
                <w:lang w:eastAsia="zh-CN"/>
              </w:rPr>
              <w:t>了解</w:t>
            </w:r>
            <w:r>
              <w:rPr>
                <w:rFonts w:hint="eastAsia"/>
                <w:kern w:val="0"/>
                <w:sz w:val="18"/>
                <w:szCs w:val="18"/>
              </w:rPr>
              <w:t>从事物联网安全保障工作必备的职业素养</w:t>
            </w:r>
          </w:p>
        </w:tc>
        <w:tc>
          <w:tcPr>
            <w:tcW w:w="1905" w:type="dxa"/>
            <w:vMerge w:val="continue"/>
            <w:vAlign w:val="center"/>
          </w:tcPr>
          <w:p>
            <w:pPr>
              <w:pStyle w:val="29"/>
              <w:ind w:firstLine="0" w:firstLineChars="0"/>
              <w:jc w:val="center"/>
              <w:rPr>
                <w:kern w:val="0"/>
                <w:sz w:val="18"/>
                <w:szCs w:val="18"/>
              </w:rPr>
            </w:pPr>
          </w:p>
        </w:tc>
      </w:tr>
    </w:tbl>
    <w:p>
      <w:pPr>
        <w:pStyle w:val="29"/>
        <w:ind w:left="380" w:firstLine="0" w:firstLineChars="0"/>
        <w:rPr>
          <w:kern w:val="0"/>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黑体" w:eastAsia="黑体" w:cs="黑体"/>
          <w:b w:val="0"/>
          <w:bCs w:val="0"/>
          <w:kern w:val="0"/>
          <w:szCs w:val="21"/>
        </w:rPr>
      </w:pPr>
      <w:r>
        <w:rPr>
          <w:rFonts w:hint="eastAsia" w:ascii="黑体" w:hAnsi="黑体" w:eastAsia="黑体" w:cs="黑体"/>
          <w:kern w:val="0"/>
          <w:lang w:val="en-US" w:eastAsia="zh-CN"/>
        </w:rPr>
        <w:t>D.4</w:t>
      </w:r>
      <w:r>
        <w:rPr>
          <w:rFonts w:hint="eastAsia" w:ascii="黑体" w:hAnsi="黑体" w:eastAsia="黑体" w:cs="黑体"/>
          <w:b w:val="0"/>
          <w:bCs w:val="0"/>
          <w:kern w:val="0"/>
          <w:szCs w:val="21"/>
        </w:rPr>
        <w:t xml:space="preserve"> 考试说明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szCs w:val="21"/>
        </w:rPr>
      </w:pPr>
      <w:r>
        <w:rPr>
          <w:rFonts w:hint="eastAsia" w:ascii="黑体" w:hAnsi="黑体" w:eastAsia="黑体" w:cs="黑体"/>
          <w:kern w:val="0"/>
          <w:lang w:val="en-US" w:eastAsia="zh-CN"/>
        </w:rPr>
        <w:t>D.4.1</w:t>
      </w:r>
      <w:r>
        <w:rPr>
          <w:rFonts w:hint="eastAsia" w:ascii="黑体" w:hAnsi="黑体" w:eastAsia="黑体" w:cs="黑体"/>
          <w:kern w:val="0"/>
          <w:szCs w:val="21"/>
        </w:rPr>
        <w:t xml:space="preserve"> 题型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kern w:val="0"/>
          <w:szCs w:val="21"/>
          <w:lang w:val="en-US" w:eastAsia="zh-CN"/>
        </w:rPr>
      </w:pPr>
      <w:r>
        <w:rPr>
          <w:rFonts w:hint="eastAsia" w:ascii="黑体" w:hAnsi="黑体" w:eastAsia="黑体" w:cs="黑体"/>
          <w:kern w:val="0"/>
          <w:szCs w:val="21"/>
          <w:lang w:eastAsia="zh-CN"/>
        </w:rPr>
        <w:t>表</w:t>
      </w:r>
      <w:r>
        <w:rPr>
          <w:rFonts w:hint="eastAsia" w:ascii="黑体" w:hAnsi="黑体" w:eastAsia="黑体" w:cs="黑体"/>
          <w:kern w:val="0"/>
          <w:szCs w:val="21"/>
          <w:lang w:val="en-US" w:eastAsia="zh-CN"/>
        </w:rPr>
        <w:t>D.7 题型</w:t>
      </w:r>
    </w:p>
    <w:tbl>
      <w:tblPr>
        <w:tblStyle w:val="21"/>
        <w:tblW w:w="9255"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2072"/>
        <w:gridCol w:w="305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题型</w:t>
            </w:r>
          </w:p>
        </w:tc>
        <w:tc>
          <w:tcPr>
            <w:tcW w:w="2072" w:type="dxa"/>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数量</w:t>
            </w:r>
          </w:p>
        </w:tc>
        <w:tc>
          <w:tcPr>
            <w:tcW w:w="3053" w:type="dxa"/>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单题分值（分）</w:t>
            </w:r>
          </w:p>
        </w:tc>
        <w:tc>
          <w:tcPr>
            <w:tcW w:w="2250" w:type="dxa"/>
          </w:tcPr>
          <w:p>
            <w:pPr>
              <w:jc w:val="center"/>
              <w:rPr>
                <w:rFonts w:hint="eastAsia" w:ascii="黑体" w:hAnsi="黑体" w:eastAsia="黑体" w:cs="黑体"/>
                <w:kern w:val="0"/>
                <w:sz w:val="21"/>
                <w:szCs w:val="21"/>
              </w:rPr>
            </w:pPr>
            <w:r>
              <w:rPr>
                <w:rFonts w:hint="eastAsia" w:ascii="黑体" w:hAnsi="黑体" w:eastAsia="黑体" w:cs="黑体"/>
                <w:kern w:val="0"/>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单项选择</w:t>
            </w:r>
          </w:p>
        </w:tc>
        <w:tc>
          <w:tcPr>
            <w:tcW w:w="2072"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3053"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5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多项选择</w:t>
            </w:r>
          </w:p>
        </w:tc>
        <w:tc>
          <w:tcPr>
            <w:tcW w:w="2072"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3053"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5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判断题</w:t>
            </w:r>
          </w:p>
        </w:tc>
        <w:tc>
          <w:tcPr>
            <w:tcW w:w="2072"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053"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5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问答题</w:t>
            </w:r>
          </w:p>
        </w:tc>
        <w:tc>
          <w:tcPr>
            <w:tcW w:w="2072"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053"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250" w:type="dxa"/>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hint="eastAsia" w:ascii="黑体" w:hAnsi="黑体" w:eastAsia="黑体" w:cs="黑体"/>
          <w:kern w:val="0"/>
          <w:szCs w:val="21"/>
        </w:rPr>
      </w:pPr>
      <w:r>
        <w:rPr>
          <w:rFonts w:hint="eastAsia" w:ascii="黑体" w:hAnsi="黑体" w:eastAsia="黑体" w:cs="黑体"/>
          <w:kern w:val="0"/>
          <w:lang w:val="en-US" w:eastAsia="zh-CN"/>
        </w:rPr>
        <w:t>D.4.2</w:t>
      </w:r>
      <w:r>
        <w:rPr>
          <w:rFonts w:hint="eastAsia" w:ascii="黑体" w:hAnsi="黑体" w:eastAsia="黑体" w:cs="黑体"/>
          <w:kern w:val="0"/>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0"/>
          <w:szCs w:val="21"/>
        </w:rPr>
      </w:pPr>
      <w:r>
        <w:rPr>
          <w:rFonts w:hint="eastAsia" w:ascii="宋体" w:hAnsi="宋体" w:eastAsia="宋体" w:cs="宋体"/>
          <w:kern w:val="0"/>
          <w:szCs w:val="21"/>
        </w:rPr>
        <w:t>总考试时间为120分钟，提前15分钟进入考场，迟到30分钟以上的视为放弃考试，考试开始后30分钟内离场的成绩无效。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szCs w:val="21"/>
        </w:rPr>
      </w:pPr>
      <w:r>
        <w:rPr>
          <w:rFonts w:hint="eastAsia" w:ascii="黑体" w:hAnsi="黑体" w:eastAsia="黑体" w:cs="黑体"/>
          <w:kern w:val="0"/>
          <w:lang w:val="en-US" w:eastAsia="zh-CN"/>
        </w:rPr>
        <w:t>D.4.3</w:t>
      </w:r>
      <w:r>
        <w:rPr>
          <w:rFonts w:hint="eastAsia" w:ascii="黑体" w:hAnsi="黑体" w:eastAsia="黑体" w:cs="黑体"/>
          <w:kern w:val="0"/>
          <w:szCs w:val="21"/>
        </w:rPr>
        <w:t xml:space="preserve"> 考试合格标准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考试满分为1</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分，考试成绩</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分以上为合格</w:t>
      </w:r>
      <w:r>
        <w:rPr>
          <w:rFonts w:hint="eastAsia" w:ascii="Times New Roman" w:hAnsi="Times New Roman" w:eastAsia="宋体" w:cs="Times New Roman"/>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kern w:val="0"/>
          <w:szCs w:val="21"/>
        </w:rPr>
      </w:pPr>
      <w:r>
        <w:rPr>
          <w:rFonts w:ascii="Songti SC" w:hAnsi="Songti SC" w:eastAsia="Songti SC"/>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rPr>
      </w:pPr>
      <w:bookmarkStart w:id="64" w:name="_Toc24981"/>
      <w:r>
        <w:rPr>
          <w:rFonts w:hint="eastAsia" w:ascii="黑体" w:hAnsi="黑体" w:eastAsia="黑体" w:cs="黑体"/>
          <w:b w:val="0"/>
          <w:bCs w:val="0"/>
          <w:kern w:val="0"/>
          <w:szCs w:val="21"/>
        </w:rPr>
        <w:t>附</w:t>
      </w:r>
      <w:r>
        <w:rPr>
          <w:rFonts w:hint="eastAsia" w:ascii="黑体" w:hAnsi="黑体" w:eastAsia="黑体" w:cs="黑体"/>
          <w:b w:val="0"/>
          <w:bCs w:val="0"/>
          <w:kern w:val="0"/>
          <w:szCs w:val="21"/>
          <w:lang w:val="en-US" w:eastAsia="zh-CN"/>
        </w:rPr>
        <w:t xml:space="preserve"> </w:t>
      </w:r>
      <w:r>
        <w:rPr>
          <w:rFonts w:hint="eastAsia" w:ascii="黑体" w:hAnsi="黑体" w:eastAsia="黑体" w:cs="黑体"/>
          <w:b w:val="0"/>
          <w:bCs w:val="0"/>
          <w:kern w:val="0"/>
          <w:szCs w:val="21"/>
        </w:rPr>
        <w:t>录</w:t>
      </w:r>
      <w:r>
        <w:rPr>
          <w:rFonts w:hint="eastAsia" w:ascii="黑体" w:hAnsi="黑体" w:eastAsia="黑体" w:cs="黑体"/>
          <w:b w:val="0"/>
          <w:bCs w:val="0"/>
          <w:kern w:val="0"/>
          <w:szCs w:val="21"/>
          <w:lang w:val="en-US" w:eastAsia="zh-CN"/>
        </w:rPr>
        <w:t xml:space="preserve"> </w:t>
      </w:r>
      <w:r>
        <w:rPr>
          <w:rFonts w:hint="eastAsia" w:ascii="黑体" w:hAnsi="黑体" w:eastAsia="黑体" w:cs="黑体"/>
          <w:b w:val="0"/>
          <w:bCs w:val="0"/>
          <w:kern w:val="0"/>
          <w:szCs w:val="21"/>
        </w:rPr>
        <w:t>E</w:t>
      </w:r>
      <w:bookmarkEnd w:id="6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lang w:eastAsia="zh-CN"/>
        </w:rPr>
      </w:pPr>
      <w:bookmarkStart w:id="65" w:name="_Toc13098"/>
      <w:r>
        <w:rPr>
          <w:rFonts w:hint="eastAsia" w:ascii="黑体" w:hAnsi="黑体" w:eastAsia="黑体" w:cs="黑体"/>
          <w:b w:val="0"/>
          <w:bCs w:val="0"/>
          <w:kern w:val="0"/>
          <w:szCs w:val="21"/>
          <w:lang w:eastAsia="zh-CN"/>
        </w:rPr>
        <w:t>（规范性）</w:t>
      </w:r>
      <w:bookmarkEnd w:id="6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rPr>
      </w:pPr>
      <w:bookmarkStart w:id="66" w:name="_Toc26944"/>
      <w:r>
        <w:rPr>
          <w:rFonts w:hint="eastAsia" w:ascii="黑体" w:hAnsi="黑体" w:eastAsia="黑体" w:cs="黑体"/>
          <w:b w:val="0"/>
          <w:bCs w:val="0"/>
          <w:kern w:val="0"/>
          <w:szCs w:val="21"/>
        </w:rPr>
        <w:t>云计算</w:t>
      </w:r>
      <w:r>
        <w:rPr>
          <w:rFonts w:hint="eastAsia" w:ascii="黑体" w:hAnsi="黑体" w:eastAsia="黑体" w:cs="黑体"/>
          <w:b w:val="0"/>
          <w:bCs w:val="0"/>
          <w:kern w:val="0"/>
          <w:szCs w:val="21"/>
          <w:lang w:eastAsia="zh-CN"/>
        </w:rPr>
        <w:t>安全</w:t>
      </w:r>
      <w:r>
        <w:rPr>
          <w:rFonts w:hint="eastAsia" w:ascii="黑体" w:hAnsi="黑体" w:eastAsia="黑体" w:cs="黑体"/>
          <w:b w:val="0"/>
          <w:bCs w:val="0"/>
          <w:kern w:val="0"/>
          <w:szCs w:val="21"/>
        </w:rPr>
        <w:t>考试大纲</w:t>
      </w:r>
      <w:bookmarkEnd w:id="66"/>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kern w:val="0"/>
        </w:rPr>
      </w:pPr>
      <w:r>
        <w:rPr>
          <w:rFonts w:hint="eastAsia" w:ascii="黑体" w:hAnsi="黑体" w:eastAsia="黑体" w:cs="黑体"/>
          <w:b w:val="0"/>
          <w:bCs w:val="0"/>
          <w:kern w:val="0"/>
          <w:lang w:val="en-US" w:eastAsia="zh-CN"/>
        </w:rPr>
        <w:t xml:space="preserve">E.1 </w:t>
      </w:r>
      <w:r>
        <w:rPr>
          <w:rFonts w:hint="eastAsia" w:ascii="黑体" w:hAnsi="黑体" w:eastAsia="黑体" w:cs="黑体"/>
          <w:b w:val="0"/>
          <w:bCs w:val="0"/>
          <w:kern w:val="0"/>
        </w:rPr>
        <w:t>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kern w:val="0"/>
          <w:szCs w:val="21"/>
        </w:rPr>
      </w:pPr>
      <w:r>
        <w:rPr>
          <w:rFonts w:ascii="Times New Roman" w:hAnsi="Times New Roman" w:eastAsia="宋体" w:cs="Times New Roman"/>
          <w:kern w:val="0"/>
          <w:szCs w:val="21"/>
        </w:rPr>
        <w:t>为使考生</w:t>
      </w:r>
      <w:r>
        <w:rPr>
          <w:rFonts w:hint="eastAsia" w:ascii="Times New Roman" w:hAnsi="Times New Roman" w:eastAsia="宋体" w:cs="Times New Roman"/>
          <w:kern w:val="0"/>
          <w:szCs w:val="21"/>
        </w:rPr>
        <w:t>达到本认证规范中</w:t>
      </w:r>
      <w:r>
        <w:rPr>
          <w:rFonts w:ascii="Times New Roman" w:hAnsi="Times New Roman" w:eastAsia="宋体" w:cs="Times New Roman"/>
          <w:kern w:val="0"/>
          <w:szCs w:val="21"/>
        </w:rPr>
        <w:t>规定</w:t>
      </w:r>
      <w:r>
        <w:rPr>
          <w:rFonts w:hint="eastAsia" w:ascii="Times New Roman" w:hAnsi="Times New Roman" w:eastAsia="宋体" w:cs="Times New Roman"/>
          <w:kern w:val="0"/>
          <w:szCs w:val="21"/>
        </w:rPr>
        <w:t>网络空间安全专业人员技术类的云计算方向三、四级能力要求，</w:t>
      </w:r>
      <w:r>
        <w:rPr>
          <w:rFonts w:ascii="Times New Roman" w:hAnsi="Times New Roman" w:eastAsia="宋体" w:cs="Times New Roman"/>
          <w:kern w:val="0"/>
          <w:szCs w:val="21"/>
        </w:rPr>
        <w:t>指导考生有效准备考试，特制定本考试大纲(以下简称大纲)</w:t>
      </w:r>
      <w:r>
        <w:rPr>
          <w:rFonts w:hint="eastAsia" w:ascii="Times New Roman" w:hAnsi="Times New Roman" w:eastAsia="宋体" w:cs="Times New Roman"/>
          <w:kern w:val="0"/>
          <w:szCs w:val="21"/>
          <w:lang w:val="en-US" w:eastAsia="zh-CN"/>
        </w:rPr>
        <w:t>,</w:t>
      </w:r>
      <w:r>
        <w:rPr>
          <w:rFonts w:hint="eastAsia" w:ascii="Times New Roman" w:hAnsi="Times New Roman" w:eastAsia="宋体" w:cs="Times New Roman"/>
          <w:kern w:val="0"/>
          <w:szCs w:val="21"/>
        </w:rPr>
        <w:t>本大纲适用于所有申请网络空间安全专业人员认证技术类的云计算方向三、四级的人员。</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E.2考试内容</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kern w:val="0"/>
          <w:lang w:val="en-US" w:eastAsia="zh-CN"/>
        </w:rPr>
      </w:pPr>
      <w:r>
        <w:rPr>
          <w:rFonts w:hint="eastAsia" w:ascii="黑体" w:hAnsi="黑体" w:eastAsia="黑体" w:cs="黑体"/>
          <w:b w:val="0"/>
          <w:bCs w:val="0"/>
          <w:kern w:val="0"/>
          <w:lang w:val="en-US" w:eastAsia="zh-CN"/>
        </w:rPr>
        <w:t>E.2.1课程要求和考试比例</w:t>
      </w:r>
    </w:p>
    <w:p>
      <w:pPr>
        <w:pStyle w:val="29"/>
        <w:numPr>
          <w:ilvl w:val="0"/>
          <w:numId w:val="0"/>
        </w:numPr>
        <w:spacing w:after="156" w:afterLines="50"/>
        <w:ind w:leftChars="0"/>
        <w:jc w:val="center"/>
        <w:rPr>
          <w:rFonts w:hint="default"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E.1 </w:t>
      </w:r>
      <w:r>
        <w:rPr>
          <w:rFonts w:hint="eastAsia" w:ascii="黑体" w:hAnsi="黑体" w:eastAsia="黑体" w:cs="黑体"/>
          <w:kern w:val="0"/>
        </w:rPr>
        <w:t>课程要求和考试比例</w:t>
      </w:r>
    </w:p>
    <w:tbl>
      <w:tblPr>
        <w:tblStyle w:val="21"/>
        <w:tblW w:w="930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2160"/>
        <w:gridCol w:w="189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40" w:type="dxa"/>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课程名称</w:t>
            </w:r>
          </w:p>
        </w:tc>
        <w:tc>
          <w:tcPr>
            <w:tcW w:w="2160" w:type="dxa"/>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课程类型</w:t>
            </w:r>
          </w:p>
        </w:tc>
        <w:tc>
          <w:tcPr>
            <w:tcW w:w="1890" w:type="dxa"/>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选择范围</w:t>
            </w:r>
          </w:p>
        </w:tc>
        <w:tc>
          <w:tcPr>
            <w:tcW w:w="2010" w:type="dxa"/>
            <w:vAlign w:val="center"/>
          </w:tcPr>
          <w:p>
            <w:pPr>
              <w:pStyle w:val="29"/>
              <w:ind w:firstLine="0" w:firstLineChars="0"/>
              <w:jc w:val="center"/>
              <w:rPr>
                <w:rFonts w:hint="eastAsia" w:ascii="黑体" w:hAnsi="黑体" w:eastAsia="黑体" w:cs="黑体"/>
                <w:kern w:val="0"/>
                <w:sz w:val="20"/>
                <w:szCs w:val="20"/>
              </w:rPr>
            </w:pPr>
            <w:r>
              <w:rPr>
                <w:rFonts w:hint="eastAsia" w:ascii="黑体" w:hAnsi="黑体" w:eastAsia="黑体" w:cs="黑体"/>
                <w:kern w:val="0"/>
                <w:sz w:val="20"/>
                <w:szCs w:val="20"/>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云计算基础</w:t>
            </w:r>
          </w:p>
        </w:tc>
        <w:tc>
          <w:tcPr>
            <w:tcW w:w="216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89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1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云计算信息安全及产品</w:t>
            </w:r>
          </w:p>
        </w:tc>
        <w:tc>
          <w:tcPr>
            <w:tcW w:w="216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基础课程</w:t>
            </w:r>
          </w:p>
        </w:tc>
        <w:tc>
          <w:tcPr>
            <w:tcW w:w="189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1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4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云计算信息安全管理及标准</w:t>
            </w:r>
          </w:p>
        </w:tc>
        <w:tc>
          <w:tcPr>
            <w:tcW w:w="216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89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1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4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访问控制及身份鉴别</w:t>
            </w:r>
          </w:p>
        </w:tc>
        <w:tc>
          <w:tcPr>
            <w:tcW w:w="216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89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1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4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基础设施和虚拟化安全</w:t>
            </w:r>
          </w:p>
        </w:tc>
        <w:tc>
          <w:tcPr>
            <w:tcW w:w="216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cs="宋体"/>
                <w:kern w:val="0"/>
                <w:sz w:val="18"/>
                <w:szCs w:val="18"/>
                <w:lang w:eastAsia="zh-CN"/>
              </w:rPr>
              <w:t>专业</w:t>
            </w:r>
            <w:r>
              <w:rPr>
                <w:rFonts w:hint="eastAsia" w:ascii="宋体" w:hAnsi="宋体" w:eastAsia="宋体" w:cs="宋体"/>
                <w:kern w:val="0"/>
                <w:sz w:val="18"/>
                <w:szCs w:val="18"/>
              </w:rPr>
              <w:t>课程</w:t>
            </w:r>
          </w:p>
        </w:tc>
        <w:tc>
          <w:tcPr>
            <w:tcW w:w="189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全部</w:t>
            </w:r>
          </w:p>
        </w:tc>
        <w:tc>
          <w:tcPr>
            <w:tcW w:w="2010" w:type="dxa"/>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25%</w:t>
            </w:r>
          </w:p>
        </w:tc>
      </w:tr>
    </w:tbl>
    <w:p>
      <w:pPr>
        <w:rPr>
          <w:rFonts w:ascii="Times New Roman" w:hAnsi="Times New Roman" w:eastAsia="宋体" w:cs="Times New Roman"/>
          <w:kern w:val="0"/>
          <w:szCs w:val="21"/>
        </w:rPr>
      </w:pPr>
    </w:p>
    <w:p>
      <w:pPr>
        <w:pStyle w:val="29"/>
        <w:numPr>
          <w:ilvl w:val="0"/>
          <w:numId w:val="0"/>
        </w:numPr>
        <w:spacing w:after="156" w:afterLines="50"/>
        <w:ind w:leftChars="0"/>
        <w:rPr>
          <w:rFonts w:hint="eastAsia" w:ascii="黑体" w:hAnsi="黑体" w:eastAsia="黑体" w:cs="黑体"/>
          <w:kern w:val="0"/>
        </w:rPr>
      </w:pPr>
      <w:r>
        <w:rPr>
          <w:rFonts w:hint="eastAsia" w:ascii="黑体" w:hAnsi="黑体" w:eastAsia="黑体" w:cs="黑体"/>
          <w:b w:val="0"/>
          <w:bCs w:val="0"/>
          <w:kern w:val="0"/>
          <w:lang w:val="en-US" w:eastAsia="zh-CN"/>
        </w:rPr>
        <w:t xml:space="preserve">E.3 </w:t>
      </w:r>
      <w:r>
        <w:rPr>
          <w:rFonts w:hint="eastAsia" w:ascii="黑体" w:hAnsi="黑体" w:eastAsia="黑体" w:cs="黑体"/>
          <w:kern w:val="0"/>
        </w:rPr>
        <w:t>各课程知识点要求</w:t>
      </w:r>
    </w:p>
    <w:p>
      <w:pPr>
        <w:pStyle w:val="29"/>
        <w:numPr>
          <w:ilvl w:val="0"/>
          <w:numId w:val="0"/>
        </w:numPr>
        <w:spacing w:after="156" w:afterLines="50"/>
        <w:ind w:leftChars="0"/>
        <w:rPr>
          <w:rFonts w:hint="eastAsia" w:ascii="黑体" w:hAnsi="黑体" w:eastAsia="黑体" w:cs="黑体"/>
          <w:kern w:val="0"/>
        </w:rPr>
      </w:pPr>
      <w:r>
        <w:rPr>
          <w:rFonts w:hint="eastAsia" w:ascii="黑体" w:hAnsi="黑体" w:eastAsia="黑体" w:cs="黑体"/>
          <w:b w:val="0"/>
          <w:bCs w:val="0"/>
          <w:kern w:val="0"/>
          <w:lang w:val="en-US" w:eastAsia="zh-CN"/>
        </w:rPr>
        <w:t xml:space="preserve">E.3.1 </w:t>
      </w:r>
      <w:r>
        <w:rPr>
          <w:rFonts w:hint="eastAsia" w:ascii="黑体" w:hAnsi="黑体" w:eastAsia="黑体" w:cs="黑体"/>
          <w:kern w:val="0"/>
        </w:rPr>
        <w:t>云计算基础</w:t>
      </w:r>
    </w:p>
    <w:p>
      <w:pPr>
        <w:pStyle w:val="29"/>
        <w:numPr>
          <w:ilvl w:val="0"/>
          <w:numId w:val="0"/>
        </w:numPr>
        <w:spacing w:after="156" w:afterLines="50"/>
        <w:ind w:leftChars="0"/>
        <w:jc w:val="center"/>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E.2 </w:t>
      </w:r>
      <w:r>
        <w:rPr>
          <w:rFonts w:hint="eastAsia" w:ascii="黑体" w:hAnsi="黑体" w:eastAsia="黑体" w:cs="黑体"/>
          <w:kern w:val="0"/>
        </w:rPr>
        <w:t>云计算基础</w:t>
      </w:r>
      <w:r>
        <w:rPr>
          <w:rFonts w:hint="eastAsia" w:ascii="黑体" w:hAnsi="黑体" w:eastAsia="黑体" w:cs="黑体"/>
          <w:kern w:val="0"/>
          <w:lang w:eastAsia="zh-CN"/>
        </w:rPr>
        <w:t>课程内容与要求</w:t>
      </w:r>
    </w:p>
    <w:tbl>
      <w:tblPr>
        <w:tblStyle w:val="21"/>
        <w:tblW w:w="936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52"/>
        <w:gridCol w:w="4318"/>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890"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云计算的定义、特点及发展历史</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了解云计算的定义及基本概念、发展历史和主要特点，掌握云计算与传统</w:t>
            </w:r>
            <w:r>
              <w:rPr>
                <w:rFonts w:hint="eastAsia" w:ascii="宋体" w:hAnsi="宋体" w:cs="宋体"/>
                <w:kern w:val="0"/>
                <w:sz w:val="18"/>
                <w:szCs w:val="18"/>
                <w:lang w:eastAsia="zh-CN"/>
              </w:rPr>
              <w:t>H</w:t>
            </w:r>
            <w:r>
              <w:rPr>
                <w:rFonts w:hint="eastAsia" w:ascii="宋体" w:hAnsi="宋体" w:eastAsia="宋体" w:cs="宋体"/>
                <w:kern w:val="0"/>
                <w:sz w:val="18"/>
                <w:szCs w:val="18"/>
              </w:rPr>
              <w:t>T的区别。</w:t>
            </w:r>
          </w:p>
        </w:tc>
        <w:tc>
          <w:tcPr>
            <w:tcW w:w="1890" w:type="dxa"/>
            <w:vMerge w:val="restart"/>
            <w:tcBorders>
              <w:top w:val="single" w:color="auto" w:sz="4" w:space="0"/>
              <w:left w:val="single" w:color="auto" w:sz="4" w:space="0"/>
              <w:right w:val="single" w:color="auto" w:sz="4" w:space="0"/>
            </w:tcBorders>
            <w:vAlign w:val="center"/>
          </w:tcPr>
          <w:p>
            <w:pPr>
              <w:pStyle w:val="29"/>
              <w:adjustRightInd w:val="0"/>
              <w:snapToGrid w:val="0"/>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《云计算：概念、技术与架构》、《云计算数据中心规划与设计》《大规模分布式存储系统-原理解析与架构实战》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云计算数据中心的组成</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了解云计算数据中心分类和建设标准，掌握云计算数据中心的基本架构，云计算系统的组成、安全体系架构。</w:t>
            </w:r>
          </w:p>
        </w:tc>
        <w:tc>
          <w:tcPr>
            <w:tcW w:w="189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云计算服务的分类</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了解云计算服务的分类，各类服务包含的具体产品类别及相互关系。</w:t>
            </w:r>
          </w:p>
        </w:tc>
        <w:tc>
          <w:tcPr>
            <w:tcW w:w="189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主流云计算厂商及技术</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了解云计算行业内主流国内和国外厂商产品、服务及特点。了解各云计算厂商的主要技术及发展趋势。</w:t>
            </w:r>
          </w:p>
        </w:tc>
        <w:tc>
          <w:tcPr>
            <w:tcW w:w="189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云存储技术及产品</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了解云存储技术的种类及特点，掌握云存储产品和服务所使用的技术和特点。</w:t>
            </w:r>
          </w:p>
        </w:tc>
        <w:tc>
          <w:tcPr>
            <w:tcW w:w="1890" w:type="dxa"/>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2252"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虚拟化技术及发展</w:t>
            </w:r>
          </w:p>
        </w:tc>
        <w:tc>
          <w:tcPr>
            <w:tcW w:w="4318"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了解不同层次的虚拟化技术及分类，掌握典型虚拟化方案的具体实现，了解虚拟化发展的方向。</w:t>
            </w:r>
          </w:p>
        </w:tc>
        <w:tc>
          <w:tcPr>
            <w:tcW w:w="189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kern w:val="0"/>
                <w:sz w:val="18"/>
                <w:szCs w:val="18"/>
              </w:rPr>
            </w:pP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textAlignment w:val="auto"/>
        <w:rPr>
          <w:rFonts w:hint="eastAsia" w:ascii="黑体" w:hAnsi="黑体" w:eastAsia="黑体" w:cs="黑体"/>
          <w:kern w:val="0"/>
        </w:rPr>
      </w:pPr>
      <w:r>
        <w:rPr>
          <w:rFonts w:hint="eastAsia" w:ascii="黑体" w:hAnsi="黑体" w:eastAsia="黑体" w:cs="黑体"/>
          <w:b w:val="0"/>
          <w:bCs w:val="0"/>
          <w:kern w:val="0"/>
          <w:lang w:val="en-US" w:eastAsia="zh-CN"/>
        </w:rPr>
        <w:t>E.3.2</w:t>
      </w:r>
      <w:r>
        <w:rPr>
          <w:rFonts w:hint="eastAsia" w:ascii="黑体" w:hAnsi="黑体" w:eastAsia="黑体" w:cs="黑体"/>
          <w:kern w:val="0"/>
        </w:rPr>
        <w:t>云计算信息安全及产品</w:t>
      </w:r>
    </w:p>
    <w:p>
      <w:pPr>
        <w:pStyle w:val="29"/>
        <w:numPr>
          <w:ilvl w:val="0"/>
          <w:numId w:val="0"/>
        </w:numPr>
        <w:spacing w:after="156" w:afterLines="50"/>
        <w:ind w:leftChars="0"/>
        <w:jc w:val="center"/>
        <w:rPr>
          <w:rFonts w:hint="default"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 E.3 </w:t>
      </w:r>
      <w:r>
        <w:rPr>
          <w:rFonts w:hint="eastAsia" w:ascii="黑体" w:hAnsi="黑体" w:eastAsia="黑体" w:cs="黑体"/>
          <w:kern w:val="0"/>
        </w:rPr>
        <w:t>云计算</w:t>
      </w:r>
      <w:r>
        <w:rPr>
          <w:rFonts w:hint="eastAsia" w:ascii="黑体" w:hAnsi="黑体" w:eastAsia="黑体" w:cs="黑体"/>
          <w:kern w:val="0"/>
          <w:lang w:eastAsia="zh-CN"/>
        </w:rPr>
        <w:t>信息安全及产品课程内容与要求</w:t>
      </w:r>
    </w:p>
    <w:tbl>
      <w:tblPr>
        <w:tblStyle w:val="21"/>
        <w:tblW w:w="939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327"/>
        <w:gridCol w:w="4226"/>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章节号</w:t>
            </w:r>
          </w:p>
        </w:tc>
        <w:tc>
          <w:tcPr>
            <w:tcW w:w="2327"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章节名</w:t>
            </w:r>
          </w:p>
        </w:tc>
        <w:tc>
          <w:tcPr>
            <w:tcW w:w="4226"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内容与要求</w:t>
            </w:r>
          </w:p>
        </w:tc>
        <w:tc>
          <w:tcPr>
            <w:tcW w:w="2012"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327"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云计算安全与传统信息安全的特点比较</w:t>
            </w:r>
          </w:p>
        </w:tc>
        <w:tc>
          <w:tcPr>
            <w:tcW w:w="4226"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了解云计算环境与传统</w:t>
            </w:r>
            <w:r>
              <w:rPr>
                <w:rFonts w:hint="eastAsia" w:ascii="宋体" w:hAnsi="宋体" w:cs="宋体"/>
                <w:kern w:val="0"/>
                <w:sz w:val="18"/>
                <w:szCs w:val="18"/>
                <w:lang w:eastAsia="zh-CN"/>
              </w:rPr>
              <w:t>H</w:t>
            </w:r>
            <w:r>
              <w:rPr>
                <w:rFonts w:hint="eastAsia" w:ascii="宋体" w:hAnsi="宋体" w:eastAsia="宋体" w:cs="宋体"/>
                <w:kern w:val="0"/>
                <w:sz w:val="18"/>
                <w:szCs w:val="18"/>
              </w:rPr>
              <w:t>T信息安全方面的面临问题的差异。</w:t>
            </w:r>
          </w:p>
        </w:tc>
        <w:tc>
          <w:tcPr>
            <w:tcW w:w="2012" w:type="dxa"/>
            <w:vMerge w:val="restart"/>
            <w:tcBorders>
              <w:top w:val="single" w:color="auto" w:sz="4" w:space="0"/>
              <w:left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《云安全原理与实践》、《云计算信息安全管理—CSA C-STAR实施指南》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5"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327"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云计算主要的安全问题及分类</w:t>
            </w:r>
          </w:p>
        </w:tc>
        <w:tc>
          <w:tcPr>
            <w:tcW w:w="4226"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了解云计算面临在主要安全问题及分类，掌握安全威胁的种类、基本原理和防御手段。</w:t>
            </w:r>
          </w:p>
        </w:tc>
        <w:tc>
          <w:tcPr>
            <w:tcW w:w="2012" w:type="dxa"/>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25"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327"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kern w:val="0"/>
                <w:sz w:val="18"/>
                <w:szCs w:val="18"/>
              </w:rPr>
            </w:pPr>
            <w:r>
              <w:rPr>
                <w:rFonts w:hint="eastAsia" w:ascii="宋体" w:hAnsi="宋体" w:eastAsia="宋体" w:cs="宋体"/>
                <w:kern w:val="0"/>
                <w:sz w:val="18"/>
                <w:szCs w:val="18"/>
              </w:rPr>
              <w:t>云计算网络安全及产品</w:t>
            </w:r>
          </w:p>
        </w:tc>
        <w:tc>
          <w:tcPr>
            <w:tcW w:w="4226"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了解云计算安全产品和服务的分类，掌握各厂商特色安全产品及特点。熟悉安全等级保护对应的安全产品。</w:t>
            </w:r>
          </w:p>
        </w:tc>
        <w:tc>
          <w:tcPr>
            <w:tcW w:w="2012" w:type="dxa"/>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kern w:val="0"/>
                <w:sz w:val="18"/>
                <w:szCs w:val="18"/>
              </w:rPr>
            </w:pP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textAlignment w:val="auto"/>
        <w:rPr>
          <w:rFonts w:hint="eastAsia" w:ascii="黑体" w:hAnsi="黑体" w:eastAsia="黑体" w:cs="黑体"/>
          <w:kern w:val="0"/>
        </w:rPr>
      </w:pPr>
      <w:r>
        <w:rPr>
          <w:rFonts w:hint="eastAsia" w:ascii="黑体" w:hAnsi="黑体" w:eastAsia="黑体" w:cs="黑体"/>
          <w:b w:val="0"/>
          <w:bCs w:val="0"/>
          <w:kern w:val="0"/>
          <w:lang w:val="en-US" w:eastAsia="zh-CN"/>
        </w:rPr>
        <w:t>E.3.2</w:t>
      </w:r>
      <w:r>
        <w:rPr>
          <w:rFonts w:hint="eastAsia" w:ascii="黑体" w:hAnsi="黑体" w:eastAsia="黑体" w:cs="黑体"/>
          <w:kern w:val="0"/>
        </w:rPr>
        <w:t>云计算信息安全管理及标准</w:t>
      </w:r>
    </w:p>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jc w:val="center"/>
        <w:textAlignment w:val="auto"/>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E.4 </w:t>
      </w:r>
      <w:r>
        <w:rPr>
          <w:rFonts w:hint="eastAsia" w:ascii="黑体" w:hAnsi="黑体" w:eastAsia="黑体" w:cs="黑体"/>
          <w:kern w:val="0"/>
        </w:rPr>
        <w:t>云计算信息安全管理及标准</w:t>
      </w:r>
      <w:r>
        <w:rPr>
          <w:rFonts w:hint="eastAsia" w:ascii="黑体" w:hAnsi="黑体" w:eastAsia="黑体" w:cs="黑体"/>
          <w:kern w:val="0"/>
          <w:lang w:eastAsia="zh-CN"/>
        </w:rPr>
        <w:t>课程内容与要求</w:t>
      </w:r>
    </w:p>
    <w:tbl>
      <w:tblPr>
        <w:tblStyle w:val="21"/>
        <w:tblW w:w="94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2254"/>
        <w:gridCol w:w="421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254"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025"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kern w:val="0"/>
                <w:sz w:val="18"/>
                <w:szCs w:val="18"/>
              </w:rPr>
            </w:pPr>
            <w:r>
              <w:rPr>
                <w:rFonts w:hint="eastAsia"/>
                <w:kern w:val="0"/>
                <w:sz w:val="18"/>
                <w:szCs w:val="18"/>
              </w:rPr>
              <w:t>1</w:t>
            </w:r>
          </w:p>
        </w:tc>
        <w:tc>
          <w:tcPr>
            <w:tcW w:w="2254"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textAlignment w:val="auto"/>
              <w:rPr>
                <w:kern w:val="0"/>
                <w:sz w:val="18"/>
                <w:szCs w:val="18"/>
              </w:rPr>
            </w:pPr>
            <w:r>
              <w:rPr>
                <w:rFonts w:hint="eastAsia"/>
                <w:kern w:val="0"/>
                <w:sz w:val="18"/>
                <w:szCs w:val="18"/>
              </w:rPr>
              <w:t>云计算相关国际、国内标准及规定</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了解云计算安全管理标准化工作概况，掌握</w:t>
            </w:r>
            <w:r>
              <w:rPr>
                <w:rFonts w:hint="eastAsia" w:ascii="宋体" w:hAnsi="宋体" w:cs="宋体"/>
                <w:kern w:val="0"/>
                <w:sz w:val="18"/>
                <w:szCs w:val="18"/>
                <w:lang w:eastAsia="zh-CN"/>
              </w:rPr>
              <w:t>H</w:t>
            </w:r>
            <w:r>
              <w:rPr>
                <w:rFonts w:hint="eastAsia" w:ascii="宋体" w:hAnsi="宋体" w:eastAsia="宋体" w:cs="宋体"/>
                <w:kern w:val="0"/>
                <w:sz w:val="18"/>
                <w:szCs w:val="18"/>
              </w:rPr>
              <w:t>SO27001、</w:t>
            </w:r>
            <w:r>
              <w:rPr>
                <w:rFonts w:hint="eastAsia" w:ascii="宋体" w:hAnsi="宋体" w:cs="宋体"/>
                <w:kern w:val="0"/>
                <w:sz w:val="18"/>
                <w:szCs w:val="18"/>
                <w:lang w:eastAsia="zh-CN"/>
              </w:rPr>
              <w:t>H</w:t>
            </w:r>
            <w:r>
              <w:rPr>
                <w:rFonts w:hint="eastAsia" w:ascii="宋体" w:hAnsi="宋体" w:eastAsia="宋体" w:cs="宋体"/>
                <w:kern w:val="0"/>
                <w:sz w:val="18"/>
                <w:szCs w:val="18"/>
              </w:rPr>
              <w:t xml:space="preserve">SO27018等主要安全管理标准及对应的国家标准。 </w:t>
            </w:r>
          </w:p>
        </w:tc>
        <w:tc>
          <w:tcPr>
            <w:tcW w:w="20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宋体" w:cs="Times New Roman"/>
                <w:kern w:val="0"/>
                <w:sz w:val="18"/>
                <w:szCs w:val="18"/>
              </w:rPr>
            </w:pPr>
            <w:r>
              <w:rPr>
                <w:rFonts w:hint="eastAsia" w:ascii="宋体" w:hAnsi="宋体" w:eastAsia="宋体" w:cs="宋体"/>
                <w:kern w:val="0"/>
                <w:sz w:val="18"/>
                <w:szCs w:val="18"/>
                <w:lang w:val="en-US" w:eastAsia="zh-CN" w:bidi="ar-SA"/>
              </w:rPr>
              <w:t>《云计算信息安全管理—CSAC-STAR实施指南》、《云计算安全体系/信息安全国家重点实验室信息安全丛书》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kern w:val="0"/>
                <w:sz w:val="18"/>
                <w:szCs w:val="18"/>
              </w:rPr>
            </w:pPr>
            <w:r>
              <w:rPr>
                <w:rFonts w:hint="eastAsia"/>
                <w:kern w:val="0"/>
                <w:sz w:val="18"/>
                <w:szCs w:val="18"/>
              </w:rPr>
              <w:t>2</w:t>
            </w:r>
          </w:p>
        </w:tc>
        <w:tc>
          <w:tcPr>
            <w:tcW w:w="2254"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textAlignment w:val="auto"/>
              <w:rPr>
                <w:kern w:val="0"/>
                <w:sz w:val="18"/>
                <w:szCs w:val="18"/>
              </w:rPr>
            </w:pPr>
            <w:r>
              <w:rPr>
                <w:rFonts w:hint="eastAsia"/>
                <w:kern w:val="0"/>
                <w:sz w:val="18"/>
                <w:szCs w:val="18"/>
              </w:rPr>
              <w:t>云计算安全管理的规定和要求</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掌握《网络安全法》、《计算机信息系统安全保护条例》等主要法律法规对云计算的要求。</w:t>
            </w:r>
          </w:p>
        </w:tc>
        <w:tc>
          <w:tcPr>
            <w:tcW w:w="2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jc w:val="center"/>
              <w:textAlignment w:val="auto"/>
              <w:rPr>
                <w:kern w:val="0"/>
                <w:sz w:val="18"/>
                <w:szCs w:val="18"/>
              </w:rPr>
            </w:pPr>
            <w:r>
              <w:rPr>
                <w:rFonts w:hint="eastAsia"/>
                <w:kern w:val="0"/>
                <w:sz w:val="18"/>
                <w:szCs w:val="18"/>
              </w:rPr>
              <w:t>3</w:t>
            </w:r>
          </w:p>
        </w:tc>
        <w:tc>
          <w:tcPr>
            <w:tcW w:w="2254"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snapToGrid/>
              <w:spacing w:line="264" w:lineRule="auto"/>
              <w:ind w:firstLine="0" w:firstLineChars="0"/>
              <w:textAlignment w:val="auto"/>
              <w:rPr>
                <w:kern w:val="0"/>
                <w:sz w:val="18"/>
                <w:szCs w:val="18"/>
              </w:rPr>
            </w:pPr>
            <w:r>
              <w:rPr>
                <w:rFonts w:hint="eastAsia"/>
                <w:kern w:val="0"/>
                <w:sz w:val="18"/>
                <w:szCs w:val="18"/>
              </w:rPr>
              <w:t>信息安全管理体系、方法及安全评估模型</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了解云计算安全管理体系及管理方法，了解云计算信息安全评估模型。</w:t>
            </w:r>
          </w:p>
        </w:tc>
        <w:tc>
          <w:tcPr>
            <w:tcW w:w="2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宋体" w:cs="Times New Roman"/>
                <w:kern w:val="0"/>
                <w:sz w:val="18"/>
                <w:szCs w:val="18"/>
              </w:rPr>
            </w:pP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textAlignment w:val="auto"/>
        <w:rPr>
          <w:rFonts w:hint="eastAsia" w:ascii="黑体" w:hAnsi="黑体" w:eastAsia="黑体" w:cs="黑体"/>
          <w:kern w:val="0"/>
        </w:rPr>
      </w:pPr>
      <w:r>
        <w:rPr>
          <w:rFonts w:hint="eastAsia" w:ascii="黑体" w:hAnsi="黑体" w:eastAsia="黑体" w:cs="黑体"/>
          <w:b w:val="0"/>
          <w:bCs w:val="0"/>
          <w:kern w:val="0"/>
          <w:lang w:val="en-US" w:eastAsia="zh-CN"/>
        </w:rPr>
        <w:t xml:space="preserve">E.3.3 </w:t>
      </w:r>
      <w:r>
        <w:rPr>
          <w:rFonts w:hint="eastAsia" w:ascii="黑体" w:hAnsi="黑体" w:eastAsia="黑体" w:cs="黑体"/>
          <w:kern w:val="0"/>
        </w:rPr>
        <w:t>访问控制及身份鉴别</w:t>
      </w:r>
    </w:p>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jc w:val="center"/>
        <w:textAlignment w:val="auto"/>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E.5 </w:t>
      </w:r>
      <w:r>
        <w:rPr>
          <w:rFonts w:hint="eastAsia" w:ascii="黑体" w:hAnsi="黑体" w:eastAsia="黑体" w:cs="黑体"/>
          <w:kern w:val="0"/>
        </w:rPr>
        <w:t>访问控制及身份鉴别</w:t>
      </w:r>
      <w:r>
        <w:rPr>
          <w:rFonts w:hint="eastAsia" w:ascii="黑体" w:hAnsi="黑体" w:eastAsia="黑体" w:cs="黑体"/>
          <w:kern w:val="0"/>
          <w:lang w:eastAsia="zh-CN"/>
        </w:rPr>
        <w:t>课程内容与要求</w:t>
      </w:r>
    </w:p>
    <w:tbl>
      <w:tblPr>
        <w:tblStyle w:val="21"/>
        <w:tblW w:w="942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99"/>
        <w:gridCol w:w="424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299" w:type="dxa"/>
            <w:tcBorders>
              <w:top w:val="single" w:color="auto" w:sz="4" w:space="0"/>
              <w:left w:val="single" w:color="auto" w:sz="4" w:space="0"/>
              <w:bottom w:val="single" w:color="auto" w:sz="4" w:space="0"/>
              <w:right w:val="single" w:color="auto" w:sz="4" w:space="0"/>
            </w:tcBorders>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241" w:type="dxa"/>
            <w:tcBorders>
              <w:top w:val="single" w:color="auto" w:sz="4" w:space="0"/>
              <w:left w:val="single" w:color="auto" w:sz="4" w:space="0"/>
              <w:bottom w:val="single" w:color="auto" w:sz="4" w:space="0"/>
              <w:right w:val="single" w:color="auto" w:sz="4" w:space="0"/>
            </w:tcBorders>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1980" w:type="dxa"/>
            <w:tcBorders>
              <w:top w:val="single" w:color="auto" w:sz="4" w:space="0"/>
              <w:left w:val="single" w:color="auto" w:sz="4" w:space="0"/>
              <w:bottom w:val="single" w:color="auto" w:sz="4" w:space="0"/>
              <w:right w:val="single" w:color="auto" w:sz="4" w:space="0"/>
            </w:tcBorders>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99"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rPr>
                <w:rFonts w:hint="eastAsia" w:ascii="宋体" w:hAnsi="宋体" w:eastAsia="宋体" w:cs="宋体"/>
                <w:kern w:val="0"/>
                <w:sz w:val="18"/>
                <w:szCs w:val="18"/>
              </w:rPr>
            </w:pPr>
            <w:r>
              <w:rPr>
                <w:rFonts w:hint="eastAsia" w:ascii="宋体" w:hAnsi="宋体" w:eastAsia="宋体" w:cs="宋体"/>
                <w:kern w:val="0"/>
                <w:sz w:val="18"/>
                <w:szCs w:val="18"/>
              </w:rPr>
              <w:t>主机的访问控制</w:t>
            </w:r>
          </w:p>
        </w:tc>
        <w:tc>
          <w:tcPr>
            <w:tcW w:w="424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了解云计算虚拟主机的访问控制相关技术，了解访问控制模型及实现机制，掌握常用的访问控制手段和控制策略。</w:t>
            </w:r>
          </w:p>
        </w:tc>
        <w:tc>
          <w:tcPr>
            <w:tcW w:w="1980" w:type="dxa"/>
            <w:vMerge w:val="restart"/>
            <w:tcBorders>
              <w:top w:val="single" w:color="auto" w:sz="4" w:space="0"/>
              <w:left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《访问控制/全国网络安全与执法专业丛书》、《GM/Y5002-2018云计算身份鉴别服务密码标准体系》</w:t>
            </w:r>
          </w:p>
          <w:p>
            <w:pPr>
              <w:pStyle w:val="29"/>
              <w:adjustRightInd w:val="0"/>
              <w:snapToGrid w:val="0"/>
              <w:ind w:firstLine="0" w:firstLineChars="0"/>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99"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rPr>
                <w:rFonts w:hint="eastAsia" w:ascii="宋体" w:hAnsi="宋体" w:eastAsia="宋体" w:cs="宋体"/>
                <w:kern w:val="0"/>
                <w:sz w:val="18"/>
                <w:szCs w:val="18"/>
              </w:rPr>
            </w:pPr>
            <w:r>
              <w:rPr>
                <w:rFonts w:hint="eastAsia" w:ascii="宋体" w:hAnsi="宋体" w:eastAsia="宋体" w:cs="宋体"/>
                <w:kern w:val="0"/>
                <w:sz w:val="18"/>
                <w:szCs w:val="18"/>
              </w:rPr>
              <w:t>SSL、VPN及堡垒机</w:t>
            </w:r>
          </w:p>
        </w:tc>
        <w:tc>
          <w:tcPr>
            <w:tcW w:w="424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了解SSL、VPN及堡垒机涉及的相关安全技术，了解主流厂商产品及特点，掌握SSL、VPN及堡垒机在云资源的安全使用和运维方面的作用。</w:t>
            </w:r>
          </w:p>
        </w:tc>
        <w:tc>
          <w:tcPr>
            <w:tcW w:w="1980" w:type="dxa"/>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299"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ind w:firstLine="0" w:firstLineChars="0"/>
              <w:rPr>
                <w:rFonts w:hint="eastAsia" w:ascii="宋体" w:hAnsi="宋体" w:eastAsia="宋体" w:cs="宋体"/>
                <w:kern w:val="0"/>
                <w:sz w:val="18"/>
                <w:szCs w:val="18"/>
              </w:rPr>
            </w:pPr>
            <w:r>
              <w:rPr>
                <w:rFonts w:hint="eastAsia" w:ascii="宋体" w:hAnsi="宋体" w:eastAsia="宋体" w:cs="宋体"/>
                <w:kern w:val="0"/>
                <w:sz w:val="18"/>
                <w:szCs w:val="18"/>
              </w:rPr>
              <w:t>身份鉴别及密码技术</w:t>
            </w:r>
          </w:p>
        </w:tc>
        <w:tc>
          <w:tcPr>
            <w:tcW w:w="424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了解云计算环境身份鉴别面临的挑战，熟悉鉴别与授权、身份管理、公钥密码体系等技术及应用，了解国家相关标准在身份鉴别方面的要求。</w:t>
            </w:r>
          </w:p>
        </w:tc>
        <w:tc>
          <w:tcPr>
            <w:tcW w:w="1980" w:type="dxa"/>
            <w:vMerge w:val="continue"/>
            <w:tcBorders>
              <w:left w:val="single" w:color="auto" w:sz="4" w:space="0"/>
              <w:right w:val="single" w:color="auto" w:sz="4" w:space="0"/>
            </w:tcBorders>
            <w:vAlign w:val="center"/>
          </w:tcPr>
          <w:p>
            <w:pPr>
              <w:adjustRightInd w:val="0"/>
              <w:snapToGrid w:val="0"/>
              <w:rPr>
                <w:rFonts w:hint="eastAsia" w:ascii="宋体" w:hAnsi="宋体" w:eastAsia="宋体" w:cs="宋体"/>
                <w:kern w:val="0"/>
                <w:sz w:val="18"/>
                <w:szCs w:val="18"/>
              </w:rPr>
            </w:pP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after="156" w:afterLines="50"/>
        <w:ind w:leftChars="0"/>
        <w:textAlignment w:val="auto"/>
        <w:rPr>
          <w:rFonts w:hint="eastAsia" w:ascii="黑体" w:hAnsi="黑体" w:eastAsia="黑体" w:cs="黑体"/>
          <w:kern w:val="0"/>
        </w:rPr>
      </w:pPr>
      <w:r>
        <w:rPr>
          <w:rFonts w:hint="eastAsia" w:ascii="黑体" w:hAnsi="黑体" w:eastAsia="黑体" w:cs="黑体"/>
          <w:b w:val="0"/>
          <w:bCs w:val="0"/>
          <w:kern w:val="0"/>
          <w:lang w:val="en-US" w:eastAsia="zh-CN"/>
        </w:rPr>
        <w:t>E.3.4</w:t>
      </w:r>
      <w:r>
        <w:rPr>
          <w:rFonts w:hint="eastAsia" w:ascii="黑体" w:hAnsi="黑体" w:eastAsia="黑体" w:cs="黑体"/>
          <w:kern w:val="0"/>
        </w:rPr>
        <w:t>基础设施和虚拟化安全</w:t>
      </w:r>
    </w:p>
    <w:p>
      <w:pPr>
        <w:pStyle w:val="29"/>
        <w:numPr>
          <w:ilvl w:val="0"/>
          <w:numId w:val="0"/>
        </w:numPr>
        <w:spacing w:after="156" w:afterLines="50"/>
        <w:ind w:leftChars="0"/>
        <w:jc w:val="center"/>
        <w:rPr>
          <w:rFonts w:hint="eastAsia"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E.6 </w:t>
      </w:r>
      <w:r>
        <w:rPr>
          <w:rFonts w:hint="eastAsia" w:ascii="黑体" w:hAnsi="黑体" w:eastAsia="黑体" w:cs="黑体"/>
          <w:kern w:val="0"/>
        </w:rPr>
        <w:t>基础设施和虚拟化安全</w:t>
      </w:r>
      <w:r>
        <w:rPr>
          <w:rFonts w:hint="eastAsia" w:ascii="黑体" w:hAnsi="黑体" w:eastAsia="黑体" w:cs="黑体"/>
          <w:kern w:val="0"/>
          <w:lang w:eastAsia="zh-CN"/>
        </w:rPr>
        <w:t>课程内容与要求</w:t>
      </w:r>
    </w:p>
    <w:tbl>
      <w:tblPr>
        <w:tblStyle w:val="21"/>
        <w:tblW w:w="943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84"/>
        <w:gridCol w:w="4211"/>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2284"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040" w:type="dxa"/>
            <w:tcBorders>
              <w:top w:val="single" w:color="auto" w:sz="4" w:space="0"/>
              <w:left w:val="single" w:color="auto" w:sz="4" w:space="0"/>
              <w:bottom w:val="single" w:color="auto" w:sz="4" w:space="0"/>
              <w:right w:val="single" w:color="auto" w:sz="4" w:space="0"/>
            </w:tcBorders>
            <w:vAlign w:val="center"/>
          </w:tcPr>
          <w:p>
            <w:pPr>
              <w:pStyle w:val="29"/>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00" w:type="dxa"/>
            <w:tcBorders>
              <w:top w:val="single" w:color="auto" w:sz="4" w:space="0"/>
              <w:left w:val="single" w:color="auto" w:sz="4" w:space="0"/>
              <w:bottom w:val="single" w:color="auto" w:sz="4" w:space="0"/>
              <w:right w:val="single" w:color="auto" w:sz="4" w:space="0"/>
            </w:tcBorders>
            <w:vAlign w:val="center"/>
          </w:tcPr>
          <w:p>
            <w:pPr>
              <w:pStyle w:val="29"/>
              <w:spacing w:after="156" w:afterLines="50"/>
              <w:jc w:val="both"/>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2284" w:type="dxa"/>
            <w:tcBorders>
              <w:top w:val="single" w:color="auto" w:sz="4" w:space="0"/>
              <w:left w:val="single" w:color="auto" w:sz="4" w:space="0"/>
              <w:bottom w:val="single" w:color="auto" w:sz="4" w:space="0"/>
              <w:right w:val="single" w:color="auto" w:sz="4" w:space="0"/>
            </w:tcBorders>
            <w:vAlign w:val="center"/>
          </w:tcPr>
          <w:p>
            <w:pPr>
              <w:pStyle w:val="29"/>
              <w:spacing w:after="156" w:afterLines="50"/>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云数据中心的安全</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了解云计算数据中心面临的安全问题，掌握云技术数据中心相关的安全设计及防护方法。</w:t>
            </w:r>
          </w:p>
        </w:tc>
        <w:tc>
          <w:tcPr>
            <w:tcW w:w="2040" w:type="dxa"/>
            <w:vMerge w:val="restart"/>
            <w:tcBorders>
              <w:top w:val="single" w:color="auto" w:sz="4" w:space="0"/>
              <w:left w:val="single" w:color="auto" w:sz="4" w:space="0"/>
              <w:right w:val="single" w:color="auto" w:sz="4" w:space="0"/>
            </w:tcBorders>
            <w:vAlign w:val="center"/>
          </w:tcPr>
          <w:p>
            <w:pPr>
              <w:spacing w:after="156" w:afterLines="50"/>
              <w:jc w:val="both"/>
              <w:rPr>
                <w:rFonts w:hint="eastAsia" w:ascii="宋体" w:hAnsi="宋体" w:eastAsia="宋体" w:cs="宋体"/>
                <w:kern w:val="0"/>
                <w:sz w:val="18"/>
                <w:szCs w:val="18"/>
              </w:rPr>
            </w:pPr>
            <w:r>
              <w:rPr>
                <w:rFonts w:hint="eastAsia" w:ascii="宋体" w:hAnsi="宋体" w:eastAsia="宋体" w:cs="宋体"/>
                <w:kern w:val="0"/>
                <w:sz w:val="18"/>
                <w:szCs w:val="18"/>
                <w:lang w:val="en-US" w:eastAsia="zh-CN" w:bidi="ar-SA"/>
              </w:rPr>
              <w:t>《云计算数据中心规划与设计》、《网络攻防技术与实战》、《云计算安全/网络空间安全系列丛书》、《云虚拟化安全攻防实践》、《虚拟化安全解决方案》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pStyle w:val="29"/>
              <w:spacing w:after="156" w:afterLines="50"/>
              <w:jc w:val="both"/>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2284" w:type="dxa"/>
            <w:tcBorders>
              <w:top w:val="single" w:color="auto" w:sz="4" w:space="0"/>
              <w:left w:val="single" w:color="auto" w:sz="4" w:space="0"/>
              <w:bottom w:val="single" w:color="auto" w:sz="4" w:space="0"/>
              <w:right w:val="single" w:color="auto" w:sz="4" w:space="0"/>
            </w:tcBorders>
            <w:vAlign w:val="center"/>
          </w:tcPr>
          <w:p>
            <w:pPr>
              <w:pStyle w:val="29"/>
              <w:spacing w:after="156" w:afterLines="50"/>
              <w:ind w:firstLine="0" w:firstLineChars="0"/>
              <w:jc w:val="both"/>
              <w:rPr>
                <w:rFonts w:hint="eastAsia" w:ascii="宋体" w:hAnsi="宋体" w:eastAsia="宋体" w:cs="宋体"/>
                <w:kern w:val="0"/>
                <w:sz w:val="18"/>
                <w:szCs w:val="18"/>
              </w:rPr>
            </w:pPr>
            <w:r>
              <w:rPr>
                <w:rFonts w:hint="eastAsia" w:ascii="宋体" w:hAnsi="宋体" w:eastAsia="宋体" w:cs="宋体"/>
                <w:kern w:val="0"/>
                <w:sz w:val="18"/>
                <w:szCs w:val="18"/>
              </w:rPr>
              <w:t>主机虚拟化安全</w:t>
            </w:r>
          </w:p>
        </w:tc>
        <w:tc>
          <w:tcPr>
            <w:tcW w:w="421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了解虚拟化架构及安全挑战、熟悉主流虚拟化管理软件及技术特点，了解虚拟化安全相关技术及解决方案。</w:t>
            </w:r>
          </w:p>
        </w:tc>
        <w:tc>
          <w:tcPr>
            <w:tcW w:w="2040" w:type="dxa"/>
            <w:vMerge w:val="continue"/>
            <w:tcBorders>
              <w:left w:val="single" w:color="auto" w:sz="4" w:space="0"/>
              <w:right w:val="single" w:color="auto" w:sz="4" w:space="0"/>
            </w:tcBorders>
            <w:vAlign w:val="center"/>
          </w:tcPr>
          <w:p>
            <w:pPr>
              <w:spacing w:after="156" w:afterLines="50"/>
              <w:ind w:firstLine="360" w:firstLineChars="200"/>
              <w:jc w:val="both"/>
              <w:rPr>
                <w:rFonts w:hint="eastAsia" w:ascii="宋体" w:hAnsi="宋体" w:eastAsia="宋体" w:cs="宋体"/>
                <w:kern w:val="0"/>
                <w:sz w:val="18"/>
                <w:szCs w:val="18"/>
              </w:rPr>
            </w:pPr>
          </w:p>
        </w:tc>
      </w:tr>
    </w:tbl>
    <w:p>
      <w:pP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kern w:val="0"/>
        </w:rPr>
      </w:pPr>
      <w:r>
        <w:rPr>
          <w:rFonts w:hint="eastAsia" w:ascii="黑体" w:hAnsi="黑体" w:eastAsia="黑体" w:cs="黑体"/>
          <w:b w:val="0"/>
          <w:bCs w:val="0"/>
          <w:kern w:val="0"/>
          <w:lang w:val="en-US" w:eastAsia="zh-CN"/>
        </w:rPr>
        <w:t>E.4</w:t>
      </w:r>
      <w:r>
        <w:rPr>
          <w:rFonts w:hint="eastAsia" w:ascii="黑体" w:hAnsi="黑体" w:eastAsia="黑体" w:cs="黑体"/>
          <w:b w:val="0"/>
          <w:bCs w:val="0"/>
          <w:kern w:val="0"/>
        </w:rPr>
        <w:t>考试说明</w:t>
      </w:r>
    </w:p>
    <w:p>
      <w:pPr>
        <w:keepNext w:val="0"/>
        <w:keepLines w:val="0"/>
        <w:pageBreakBefore w:val="0"/>
        <w:widowControl w:val="0"/>
        <w:kinsoku/>
        <w:wordWrap/>
        <w:overflowPunct/>
        <w:topLinePunct w:val="0"/>
        <w:autoSpaceDE/>
        <w:autoSpaceDN/>
        <w:bidi w:val="0"/>
        <w:adjustRightInd/>
        <w:snapToGrid/>
        <w:spacing w:after="160" w:afterLines="50" w:line="360" w:lineRule="auto"/>
        <w:textAlignment w:val="auto"/>
        <w:rPr>
          <w:rFonts w:ascii="Times New Roman" w:hAnsi="Times New Roman" w:eastAsia="宋体" w:cs="Times New Roman"/>
          <w:kern w:val="0"/>
          <w:szCs w:val="21"/>
        </w:rPr>
      </w:pPr>
      <w:r>
        <w:rPr>
          <w:rFonts w:hint="eastAsia" w:ascii="黑体" w:hAnsi="黑体" w:eastAsia="黑体" w:cs="黑体"/>
          <w:b w:val="0"/>
          <w:bCs w:val="0"/>
          <w:kern w:val="0"/>
          <w:lang w:val="en-US" w:eastAsia="zh-CN"/>
        </w:rPr>
        <w:t>E.4.1</w:t>
      </w:r>
      <w:r>
        <w:rPr>
          <w:rFonts w:hint="eastAsia" w:ascii="黑体" w:hAnsi="黑体" w:eastAsia="黑体" w:cs="黑体"/>
          <w:kern w:val="0"/>
          <w:szCs w:val="21"/>
        </w:rPr>
        <w:t xml:space="preserve"> 题型</w:t>
      </w:r>
    </w:p>
    <w:tbl>
      <w:tblPr>
        <w:tblStyle w:val="21"/>
        <w:tblW w:w="935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2072"/>
        <w:gridCol w:w="223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5" w:type="dxa"/>
            <w:vAlign w:val="center"/>
          </w:tcPr>
          <w:p>
            <w:pPr>
              <w:adjustRightInd w:val="0"/>
              <w:snapToGrid w:val="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题型</w:t>
            </w:r>
          </w:p>
        </w:tc>
        <w:tc>
          <w:tcPr>
            <w:tcW w:w="2072" w:type="dxa"/>
            <w:vAlign w:val="center"/>
          </w:tcPr>
          <w:p>
            <w:pPr>
              <w:adjustRightInd w:val="0"/>
              <w:snapToGrid w:val="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数量</w:t>
            </w:r>
          </w:p>
        </w:tc>
        <w:tc>
          <w:tcPr>
            <w:tcW w:w="2230" w:type="dxa"/>
            <w:vAlign w:val="center"/>
          </w:tcPr>
          <w:p>
            <w:pPr>
              <w:adjustRightInd w:val="0"/>
              <w:snapToGrid w:val="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单题分值（分）</w:t>
            </w:r>
          </w:p>
        </w:tc>
        <w:tc>
          <w:tcPr>
            <w:tcW w:w="3118" w:type="dxa"/>
            <w:vAlign w:val="center"/>
          </w:tcPr>
          <w:p>
            <w:pPr>
              <w:adjustRightInd w:val="0"/>
              <w:snapToGrid w:val="0"/>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5"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单项选择题</w:t>
            </w:r>
          </w:p>
        </w:tc>
        <w:tc>
          <w:tcPr>
            <w:tcW w:w="2072"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2230"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118"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5"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不定项选择题</w:t>
            </w:r>
          </w:p>
        </w:tc>
        <w:tc>
          <w:tcPr>
            <w:tcW w:w="2072"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2230"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118"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35"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判断题</w:t>
            </w:r>
          </w:p>
        </w:tc>
        <w:tc>
          <w:tcPr>
            <w:tcW w:w="2072"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2230"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118" w:type="dxa"/>
            <w:vAlign w:val="center"/>
          </w:tcPr>
          <w:p>
            <w:pPr>
              <w:adjustRightInd w:val="0"/>
              <w:snapToGrid w:val="0"/>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ascii="Times New Roman" w:hAnsi="Times New Roman" w:eastAsia="宋体" w:cs="Times New Roman"/>
          <w:kern w:val="0"/>
          <w:szCs w:val="21"/>
        </w:rPr>
      </w:pPr>
      <w:r>
        <w:rPr>
          <w:rFonts w:hint="eastAsia" w:ascii="黑体" w:hAnsi="黑体" w:eastAsia="黑体" w:cs="黑体"/>
          <w:b w:val="0"/>
          <w:bCs w:val="0"/>
          <w:kern w:val="0"/>
          <w:lang w:val="en-US" w:eastAsia="zh-CN"/>
        </w:rPr>
        <w:t>E.4.2</w:t>
      </w:r>
      <w:r>
        <w:rPr>
          <w:rFonts w:hint="eastAsia" w:ascii="黑体" w:hAnsi="黑体" w:eastAsia="黑体" w:cs="黑体"/>
          <w:kern w:val="0"/>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总考试时间为1</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分钟，提前1</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分钟进入考场，迟到3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分钟以上的视为放弃考试，考试开始后3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分钟内离场的成绩无效。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szCs w:val="21"/>
        </w:rPr>
      </w:pPr>
      <w:r>
        <w:rPr>
          <w:rFonts w:hint="eastAsia" w:ascii="黑体" w:hAnsi="黑体" w:eastAsia="黑体" w:cs="黑体"/>
          <w:b w:val="0"/>
          <w:bCs w:val="0"/>
          <w:kern w:val="0"/>
          <w:lang w:val="en-US" w:eastAsia="zh-CN"/>
        </w:rPr>
        <w:t>E.4.3</w:t>
      </w:r>
      <w:r>
        <w:rPr>
          <w:rFonts w:hint="eastAsia" w:ascii="黑体" w:hAnsi="黑体" w:eastAsia="黑体" w:cs="黑体"/>
          <w:kern w:val="0"/>
          <w:szCs w:val="21"/>
        </w:rPr>
        <w:t>考试合格标准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考试满分为1</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分，考试成绩</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分以上为合格</w:t>
      </w:r>
      <w:r>
        <w:rPr>
          <w:rFonts w:hint="eastAsia" w:ascii="Times New Roman" w:hAnsi="Times New Roman" w:eastAsia="宋体" w:cs="Times New Roman"/>
          <w:kern w:val="0"/>
          <w:szCs w:val="21"/>
          <w:lang w:eastAsia="zh-CN"/>
        </w:rPr>
        <w:t>。</w:t>
      </w:r>
    </w:p>
    <w:p>
      <w:pPr>
        <w:widowControl/>
        <w:jc w:val="left"/>
        <w:rPr>
          <w:rFonts w:ascii="黑体" w:hAnsi="黑体" w:eastAsia="黑体" w:cs="黑体"/>
          <w:b/>
          <w:bCs/>
          <w:szCs w:val="21"/>
        </w:rPr>
      </w:pPr>
      <w:r>
        <w:rPr>
          <w:rFonts w:ascii="黑体" w:hAnsi="黑体" w:eastAsia="黑体" w:cs="黑体"/>
          <w:b/>
          <w:bCs/>
          <w:szCs w:val="21"/>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lang w:eastAsia="zh-CN"/>
        </w:rPr>
      </w:pPr>
      <w:bookmarkStart w:id="67" w:name="_Toc17135"/>
      <w:r>
        <w:rPr>
          <w:rFonts w:hint="eastAsia" w:ascii="黑体" w:hAnsi="黑体" w:eastAsia="黑体" w:cs="黑体"/>
          <w:b w:val="0"/>
          <w:bCs w:val="0"/>
          <w:kern w:val="0"/>
          <w:szCs w:val="21"/>
        </w:rPr>
        <w:t>附</w:t>
      </w:r>
      <w:r>
        <w:rPr>
          <w:rFonts w:hint="eastAsia" w:ascii="黑体" w:hAnsi="黑体" w:eastAsia="黑体" w:cs="黑体"/>
          <w:b w:val="0"/>
          <w:bCs w:val="0"/>
          <w:kern w:val="0"/>
          <w:szCs w:val="21"/>
          <w:lang w:val="en-US" w:eastAsia="zh-CN"/>
        </w:rPr>
        <w:t xml:space="preserve"> </w:t>
      </w:r>
      <w:r>
        <w:rPr>
          <w:rFonts w:hint="eastAsia" w:ascii="黑体" w:hAnsi="黑体" w:eastAsia="黑体" w:cs="黑体"/>
          <w:b w:val="0"/>
          <w:bCs w:val="0"/>
          <w:kern w:val="0"/>
          <w:szCs w:val="21"/>
        </w:rPr>
        <w:t>录</w:t>
      </w:r>
      <w:r>
        <w:rPr>
          <w:rFonts w:hint="eastAsia" w:ascii="黑体" w:hAnsi="黑体" w:eastAsia="黑体" w:cs="黑体"/>
          <w:b w:val="0"/>
          <w:bCs w:val="0"/>
          <w:kern w:val="0"/>
          <w:szCs w:val="21"/>
          <w:lang w:val="en-US" w:eastAsia="zh-CN"/>
        </w:rPr>
        <w:t xml:space="preserve"> F</w:t>
      </w:r>
      <w:bookmarkEnd w:id="67"/>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kern w:val="0"/>
          <w:szCs w:val="21"/>
          <w:lang w:eastAsia="zh-CN"/>
        </w:rPr>
      </w:pPr>
      <w:bookmarkStart w:id="68" w:name="_Toc3258"/>
      <w:r>
        <w:rPr>
          <w:rFonts w:hint="eastAsia" w:ascii="黑体" w:hAnsi="黑体" w:eastAsia="黑体" w:cs="黑体"/>
          <w:b w:val="0"/>
          <w:bCs w:val="0"/>
          <w:kern w:val="0"/>
          <w:szCs w:val="21"/>
          <w:lang w:eastAsia="zh-CN"/>
        </w:rPr>
        <w:t>（规范性）</w:t>
      </w:r>
      <w:bookmarkEnd w:id="68"/>
    </w:p>
    <w:p>
      <w:pPr>
        <w:keepNext w:val="0"/>
        <w:keepLines w:val="0"/>
        <w:pageBreakBefore w:val="0"/>
        <w:widowControl/>
        <w:kinsoku/>
        <w:wordWrap/>
        <w:overflowPunct/>
        <w:topLinePunct w:val="0"/>
        <w:autoSpaceDE/>
        <w:autoSpaceDN/>
        <w:bidi w:val="0"/>
        <w:adjustRightInd/>
        <w:snapToGrid/>
        <w:spacing w:after="283" w:line="360" w:lineRule="auto"/>
        <w:jc w:val="center"/>
        <w:textAlignment w:val="auto"/>
        <w:outlineLvl w:val="0"/>
        <w:rPr>
          <w:rFonts w:hint="eastAsia" w:ascii="黑体" w:hAnsi="黑体" w:eastAsia="黑体" w:cs="黑体"/>
          <w:b w:val="0"/>
          <w:bCs w:val="0"/>
          <w:kern w:val="0"/>
          <w:szCs w:val="21"/>
        </w:rPr>
      </w:pPr>
      <w:bookmarkStart w:id="69" w:name="_Toc2757"/>
      <w:r>
        <w:rPr>
          <w:rFonts w:hint="eastAsia" w:ascii="黑体" w:hAnsi="黑体" w:eastAsia="黑体" w:cs="黑体"/>
          <w:b w:val="0"/>
          <w:bCs w:val="0"/>
          <w:kern w:val="0"/>
          <w:szCs w:val="21"/>
        </w:rPr>
        <w:t>网络安全规划设计方向考试大纲</w:t>
      </w:r>
      <w:bookmarkEnd w:id="69"/>
    </w:p>
    <w:p>
      <w:pPr>
        <w:pStyle w:val="29"/>
        <w:keepNext w:val="0"/>
        <w:keepLines w:val="0"/>
        <w:pageBreakBefore w:val="0"/>
        <w:widowControl w:val="0"/>
        <w:numPr>
          <w:ilvl w:val="0"/>
          <w:numId w:val="0"/>
        </w:numPr>
        <w:kinsoku/>
        <w:wordWrap/>
        <w:overflowPunct/>
        <w:topLinePunct w:val="0"/>
        <w:autoSpaceDE/>
        <w:autoSpaceDN/>
        <w:bidi w:val="0"/>
        <w:adjustRightInd/>
        <w:snapToGrid/>
        <w:spacing w:after="160" w:afterLines="50" w:line="120" w:lineRule="auto"/>
        <w:ind w:leftChars="0"/>
        <w:textAlignment w:val="auto"/>
        <w:rPr>
          <w:rFonts w:hint="eastAsia" w:ascii="黑体" w:hAnsi="黑体" w:eastAsia="黑体" w:cs="黑体"/>
          <w:b w:val="0"/>
          <w:bCs w:val="0"/>
          <w:kern w:val="0"/>
        </w:rPr>
      </w:pPr>
      <w:r>
        <w:rPr>
          <w:rFonts w:hint="eastAsia" w:ascii="黑体" w:hAnsi="黑体" w:eastAsia="黑体" w:cs="黑体"/>
          <w:b w:val="0"/>
          <w:bCs w:val="0"/>
          <w:kern w:val="0"/>
          <w:lang w:val="en-US" w:eastAsia="zh-CN"/>
        </w:rPr>
        <w:t xml:space="preserve">F.1 </w:t>
      </w:r>
      <w:r>
        <w:rPr>
          <w:rFonts w:hint="eastAsia" w:ascii="黑体" w:hAnsi="黑体" w:eastAsia="黑体" w:cs="黑体"/>
          <w:b w:val="0"/>
          <w:bCs w:val="0"/>
          <w:kern w:val="0"/>
        </w:rPr>
        <w:t>目的</w:t>
      </w:r>
    </w:p>
    <w:p>
      <w:pPr>
        <w:pStyle w:val="29"/>
        <w:keepNext w:val="0"/>
        <w:keepLines w:val="0"/>
        <w:pageBreakBefore w:val="0"/>
        <w:widowControl w:val="0"/>
        <w:kinsoku/>
        <w:wordWrap/>
        <w:overflowPunct/>
        <w:topLinePunct w:val="0"/>
        <w:autoSpaceDE/>
        <w:autoSpaceDN/>
        <w:bidi w:val="0"/>
        <w:adjustRightInd/>
        <w:snapToGrid/>
        <w:spacing w:line="360" w:lineRule="auto"/>
        <w:ind w:left="3" w:leftChars="0" w:firstLine="359" w:firstLineChars="171"/>
        <w:textAlignment w:val="auto"/>
        <w:rPr>
          <w:rFonts w:hint="eastAsia" w:eastAsia="宋体"/>
          <w:kern w:val="0"/>
          <w:lang w:eastAsia="zh-CN"/>
        </w:rPr>
      </w:pPr>
      <w:r>
        <w:rPr>
          <w:rFonts w:hint="eastAsia" w:ascii="宋体" w:hAnsi="宋体" w:eastAsia="宋体" w:cs="宋体"/>
          <w:kern w:val="0"/>
        </w:rPr>
        <w:t>为使考生达到本认证规范中规定网络空间安全专业人员运营类网络安全规划设计方向三、四级能力要求，指导考生有效准备考试，特制定本考试大纲(以下简称大纲)</w:t>
      </w:r>
      <w:r>
        <w:rPr>
          <w:rFonts w:hint="eastAsia" w:ascii="宋体" w:hAnsi="宋体" w:cs="宋体"/>
          <w:kern w:val="0"/>
          <w:lang w:eastAsia="zh-CN"/>
        </w:rPr>
        <w:t>，</w:t>
      </w:r>
      <w:r>
        <w:rPr>
          <w:rFonts w:hint="eastAsia"/>
          <w:kern w:val="0"/>
        </w:rPr>
        <w:t>本大纲适用于所有申请网络空间安全专业人员认证运营类网络安全规划设计方向三、四级的人员</w:t>
      </w:r>
      <w:r>
        <w:rPr>
          <w:rFonts w:hint="eastAsia"/>
          <w:kern w:val="0"/>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line="360" w:lineRule="auto"/>
        <w:ind w:leftChars="0"/>
        <w:textAlignment w:val="auto"/>
        <w:rPr>
          <w:b/>
          <w:bCs/>
          <w:kern w:val="0"/>
        </w:rPr>
      </w:pPr>
      <w:r>
        <w:rPr>
          <w:rFonts w:hint="eastAsia" w:ascii="黑体" w:hAnsi="黑体" w:eastAsia="黑体" w:cs="黑体"/>
          <w:b w:val="0"/>
          <w:bCs w:val="0"/>
          <w:kern w:val="0"/>
          <w:lang w:val="en-US" w:eastAsia="zh-CN"/>
        </w:rPr>
        <w:t xml:space="preserve">F.2 </w:t>
      </w:r>
      <w:r>
        <w:rPr>
          <w:rFonts w:hint="eastAsia" w:ascii="黑体" w:hAnsi="黑体" w:eastAsia="黑体" w:cs="黑体"/>
          <w:b w:val="0"/>
          <w:bCs w:val="0"/>
          <w:kern w:val="0"/>
        </w:rPr>
        <w:t>考试内容</w:t>
      </w:r>
    </w:p>
    <w:p>
      <w:pPr>
        <w:pStyle w:val="29"/>
        <w:keepNext w:val="0"/>
        <w:keepLines w:val="0"/>
        <w:pageBreakBefore w:val="0"/>
        <w:widowControl w:val="0"/>
        <w:numPr>
          <w:ilvl w:val="0"/>
          <w:numId w:val="0"/>
        </w:numPr>
        <w:kinsoku/>
        <w:wordWrap/>
        <w:overflowPunct/>
        <w:topLinePunct w:val="0"/>
        <w:autoSpaceDE/>
        <w:autoSpaceDN/>
        <w:bidi w:val="0"/>
        <w:adjustRightInd/>
        <w:snapToGrid/>
        <w:spacing w:after="160" w:afterLines="50" w:line="360" w:lineRule="auto"/>
        <w:ind w:leftChars="0"/>
        <w:textAlignment w:val="auto"/>
        <w:rPr>
          <w:rFonts w:hint="eastAsia" w:ascii="黑体" w:hAnsi="黑体" w:eastAsia="黑体" w:cs="黑体"/>
          <w:kern w:val="0"/>
        </w:rPr>
      </w:pPr>
      <w:r>
        <w:rPr>
          <w:rFonts w:hint="eastAsia" w:ascii="黑体" w:hAnsi="黑体" w:eastAsia="黑体" w:cs="黑体"/>
          <w:b w:val="0"/>
          <w:bCs w:val="0"/>
          <w:kern w:val="0"/>
          <w:lang w:val="en-US" w:eastAsia="zh-CN"/>
        </w:rPr>
        <w:t>F.2 .1</w:t>
      </w:r>
      <w:r>
        <w:rPr>
          <w:rFonts w:hint="eastAsia" w:ascii="黑体" w:hAnsi="黑体" w:eastAsia="黑体" w:cs="黑体"/>
          <w:kern w:val="0"/>
        </w:rPr>
        <w:t>课程要求和考试比例</w:t>
      </w:r>
    </w:p>
    <w:p>
      <w:pPr>
        <w:pStyle w:val="29"/>
        <w:keepNext w:val="0"/>
        <w:keepLines w:val="0"/>
        <w:pageBreakBefore w:val="0"/>
        <w:widowControl w:val="0"/>
        <w:numPr>
          <w:ilvl w:val="0"/>
          <w:numId w:val="0"/>
        </w:numPr>
        <w:kinsoku/>
        <w:wordWrap/>
        <w:overflowPunct/>
        <w:topLinePunct w:val="0"/>
        <w:autoSpaceDE/>
        <w:autoSpaceDN/>
        <w:bidi w:val="0"/>
        <w:adjustRightInd/>
        <w:snapToGrid/>
        <w:spacing w:after="160" w:afterLines="50" w:line="360" w:lineRule="auto"/>
        <w:ind w:leftChars="0"/>
        <w:jc w:val="center"/>
        <w:textAlignment w:val="auto"/>
        <w:rPr>
          <w:rFonts w:hint="default" w:ascii="黑体" w:hAnsi="黑体" w:eastAsia="黑体" w:cs="黑体"/>
          <w:kern w:val="0"/>
          <w:lang w:val="en-US" w:eastAsia="zh-CN"/>
        </w:rPr>
      </w:pPr>
      <w:r>
        <w:rPr>
          <w:rFonts w:hint="eastAsia" w:ascii="黑体" w:hAnsi="黑体" w:eastAsia="黑体" w:cs="黑体"/>
          <w:kern w:val="0"/>
          <w:lang w:val="en-US" w:eastAsia="zh-CN"/>
        </w:rPr>
        <w:t xml:space="preserve">表F.1 </w:t>
      </w:r>
      <w:r>
        <w:rPr>
          <w:rFonts w:hint="eastAsia" w:ascii="黑体" w:hAnsi="黑体" w:eastAsia="黑体" w:cs="黑体"/>
          <w:kern w:val="0"/>
        </w:rPr>
        <w:t>课程要求和考试比例</w:t>
      </w:r>
    </w:p>
    <w:tbl>
      <w:tblPr>
        <w:tblStyle w:val="21"/>
        <w:tblW w:w="9052"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2"/>
        <w:gridCol w:w="2010"/>
        <w:gridCol w:w="17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2" w:type="dxa"/>
          </w:tcPr>
          <w:p>
            <w:pPr>
              <w:pStyle w:val="29"/>
              <w:spacing w:line="120" w:lineRule="auto"/>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课程名称</w:t>
            </w:r>
          </w:p>
        </w:tc>
        <w:tc>
          <w:tcPr>
            <w:tcW w:w="2010" w:type="dxa"/>
          </w:tcPr>
          <w:p>
            <w:pPr>
              <w:pStyle w:val="29"/>
              <w:spacing w:line="120" w:lineRule="auto"/>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课程类型</w:t>
            </w:r>
          </w:p>
        </w:tc>
        <w:tc>
          <w:tcPr>
            <w:tcW w:w="1725" w:type="dxa"/>
          </w:tcPr>
          <w:p>
            <w:pPr>
              <w:pStyle w:val="29"/>
              <w:spacing w:line="120" w:lineRule="auto"/>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选择范围</w:t>
            </w:r>
          </w:p>
        </w:tc>
        <w:tc>
          <w:tcPr>
            <w:tcW w:w="2175" w:type="dxa"/>
          </w:tcPr>
          <w:p>
            <w:pPr>
              <w:pStyle w:val="29"/>
              <w:spacing w:line="120" w:lineRule="auto"/>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信息安全保障人员基本素质</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基础课程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信息安全意识教育</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基础课程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信息安全法律法规体系</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基础课程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密码学基础</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cs="宋体"/>
                <w:kern w:val="0"/>
                <w:sz w:val="18"/>
                <w:szCs w:val="18"/>
                <w:lang w:eastAsia="zh-CN"/>
              </w:rPr>
              <w:t>专业</w:t>
            </w:r>
            <w:r>
              <w:rPr>
                <w:rFonts w:hint="eastAsia" w:ascii="宋体" w:hAnsi="宋体" w:eastAsia="宋体" w:cs="宋体"/>
                <w:kern w:val="0"/>
                <w:sz w:val="20"/>
                <w:szCs w:val="20"/>
              </w:rPr>
              <w:t>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计算机网络</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cs="宋体"/>
                <w:kern w:val="0"/>
                <w:sz w:val="18"/>
                <w:szCs w:val="18"/>
                <w:lang w:eastAsia="zh-CN"/>
              </w:rPr>
              <w:t>专业</w:t>
            </w:r>
            <w:r>
              <w:rPr>
                <w:rFonts w:hint="eastAsia" w:ascii="宋体" w:hAnsi="宋体" w:eastAsia="宋体" w:cs="宋体"/>
                <w:kern w:val="0"/>
                <w:sz w:val="20"/>
                <w:szCs w:val="20"/>
              </w:rPr>
              <w:t>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2" w:type="dxa"/>
          </w:tcPr>
          <w:p>
            <w:pPr>
              <w:pStyle w:val="29"/>
              <w:spacing w:line="120" w:lineRule="auto"/>
              <w:ind w:firstLine="0" w:firstLineChars="0"/>
              <w:rPr>
                <w:rFonts w:hint="eastAsia" w:ascii="宋体" w:hAnsi="宋体" w:eastAsia="宋体" w:cs="宋体"/>
                <w:kern w:val="0"/>
                <w:sz w:val="20"/>
                <w:szCs w:val="20"/>
              </w:rPr>
            </w:pPr>
            <w:r>
              <w:rPr>
                <w:rFonts w:hint="eastAsia" w:ascii="宋体" w:hAnsi="宋体" w:eastAsia="宋体" w:cs="宋体"/>
                <w:kern w:val="0"/>
                <w:sz w:val="20"/>
                <w:szCs w:val="20"/>
              </w:rPr>
              <w:t>计算机网络安全</w:t>
            </w:r>
          </w:p>
        </w:tc>
        <w:tc>
          <w:tcPr>
            <w:tcW w:w="2010"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cs="宋体"/>
                <w:kern w:val="0"/>
                <w:sz w:val="18"/>
                <w:szCs w:val="18"/>
                <w:lang w:eastAsia="zh-CN"/>
              </w:rPr>
              <w:t>专业</w:t>
            </w:r>
            <w:r>
              <w:rPr>
                <w:rFonts w:hint="eastAsia" w:ascii="宋体" w:hAnsi="宋体" w:eastAsia="宋体" w:cs="宋体"/>
                <w:kern w:val="0"/>
                <w:sz w:val="20"/>
                <w:szCs w:val="20"/>
              </w:rPr>
              <w:t>课程</w:t>
            </w:r>
          </w:p>
        </w:tc>
        <w:tc>
          <w:tcPr>
            <w:tcW w:w="172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全部</w:t>
            </w:r>
          </w:p>
        </w:tc>
        <w:tc>
          <w:tcPr>
            <w:tcW w:w="2175" w:type="dxa"/>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30%</w:t>
            </w: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line="360" w:lineRule="auto"/>
        <w:ind w:leftChars="0"/>
        <w:textAlignment w:val="auto"/>
        <w:rPr>
          <w:rFonts w:hint="eastAsia" w:ascii="黑体" w:hAnsi="黑体" w:eastAsia="黑体" w:cs="黑体"/>
          <w:kern w:val="0"/>
        </w:rPr>
      </w:pPr>
      <w:r>
        <w:rPr>
          <w:rFonts w:hint="eastAsia" w:ascii="黑体" w:hAnsi="黑体" w:eastAsia="黑体" w:cs="黑体"/>
          <w:kern w:val="0"/>
          <w:lang w:val="en-US" w:eastAsia="zh-CN"/>
        </w:rPr>
        <w:t xml:space="preserve">F.3 </w:t>
      </w:r>
      <w:r>
        <w:rPr>
          <w:rFonts w:hint="eastAsia" w:ascii="黑体" w:hAnsi="黑体" w:eastAsia="黑体" w:cs="黑体"/>
          <w:kern w:val="0"/>
        </w:rPr>
        <w:t>各课程知识点要求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after="160" w:afterLines="50" w:line="360" w:lineRule="auto"/>
        <w:ind w:leftChars="0"/>
        <w:textAlignment w:val="auto"/>
        <w:rPr>
          <w:rFonts w:hint="eastAsia" w:ascii="黑体" w:hAnsi="黑体" w:eastAsia="黑体" w:cs="黑体"/>
          <w:kern w:val="0"/>
        </w:rPr>
      </w:pPr>
      <w:r>
        <w:rPr>
          <w:rFonts w:hint="eastAsia" w:ascii="黑体" w:hAnsi="黑体" w:eastAsia="黑体" w:cs="黑体"/>
          <w:kern w:val="0"/>
          <w:lang w:val="en-US" w:eastAsia="zh-CN"/>
        </w:rPr>
        <w:t>F.3.1</w:t>
      </w:r>
      <w:r>
        <w:rPr>
          <w:rFonts w:hint="eastAsia" w:ascii="黑体" w:hAnsi="黑体" w:eastAsia="黑体" w:cs="黑体"/>
          <w:kern w:val="0"/>
        </w:rPr>
        <w:t xml:space="preserve"> 信息安全法律法规体系</w:t>
      </w:r>
    </w:p>
    <w:p>
      <w:pPr>
        <w:pStyle w:val="29"/>
        <w:keepNext w:val="0"/>
        <w:keepLines w:val="0"/>
        <w:pageBreakBefore w:val="0"/>
        <w:widowControl w:val="0"/>
        <w:numPr>
          <w:ilvl w:val="0"/>
          <w:numId w:val="0"/>
        </w:numPr>
        <w:kinsoku/>
        <w:wordWrap/>
        <w:overflowPunct/>
        <w:topLinePunct w:val="0"/>
        <w:autoSpaceDE/>
        <w:autoSpaceDN/>
        <w:bidi w:val="0"/>
        <w:adjustRightInd/>
        <w:snapToGrid/>
        <w:spacing w:after="160" w:afterLines="50" w:line="360" w:lineRule="auto"/>
        <w:ind w:leftChars="0"/>
        <w:jc w:val="center"/>
        <w:textAlignment w:val="auto"/>
        <w:rPr>
          <w:rFonts w:hint="eastAsia" w:ascii="黑体" w:hAnsi="黑体" w:eastAsia="黑体" w:cs="黑体"/>
          <w:kern w:val="0"/>
        </w:rPr>
      </w:pPr>
      <w:r>
        <w:rPr>
          <w:rFonts w:hint="eastAsia" w:ascii="黑体" w:hAnsi="黑体" w:eastAsia="黑体" w:cs="黑体"/>
          <w:kern w:val="0"/>
          <w:lang w:eastAsia="zh-CN"/>
        </w:rPr>
        <w:t>表</w:t>
      </w:r>
      <w:r>
        <w:rPr>
          <w:rFonts w:hint="eastAsia" w:ascii="黑体" w:hAnsi="黑体" w:eastAsia="黑体" w:cs="黑体"/>
          <w:kern w:val="0"/>
          <w:lang w:val="en-US" w:eastAsia="zh-CN"/>
        </w:rPr>
        <w:t xml:space="preserve"> F.2</w:t>
      </w:r>
      <w:r>
        <w:rPr>
          <w:rFonts w:hint="eastAsia" w:ascii="黑体" w:hAnsi="黑体" w:eastAsia="黑体" w:cs="黑体"/>
          <w:kern w:val="0"/>
        </w:rPr>
        <w:t>课程要求和考试比例</w:t>
      </w:r>
    </w:p>
    <w:tbl>
      <w:tblPr>
        <w:tblStyle w:val="21"/>
        <w:tblW w:w="9075"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2355"/>
        <w:gridCol w:w="36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章节号</w:t>
            </w:r>
          </w:p>
        </w:tc>
        <w:tc>
          <w:tcPr>
            <w:tcW w:w="2355"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章节名</w:t>
            </w:r>
          </w:p>
        </w:tc>
        <w:tc>
          <w:tcPr>
            <w:tcW w:w="360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内容与要求</w:t>
            </w:r>
          </w:p>
        </w:tc>
        <w:tc>
          <w:tcPr>
            <w:tcW w:w="216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2355"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信息安全法律、行政法规</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掌握</w:t>
            </w:r>
            <w:r>
              <w:rPr>
                <w:rFonts w:hint="eastAsia" w:ascii="宋体" w:hAnsi="宋体" w:eastAsia="宋体" w:cs="宋体"/>
                <w:kern w:val="0"/>
                <w:sz w:val="20"/>
                <w:szCs w:val="20"/>
              </w:rPr>
              <w:t>网络安全法、数据安全法等法律、法规</w:t>
            </w:r>
            <w:r>
              <w:rPr>
                <w:rFonts w:hint="eastAsia" w:ascii="宋体" w:hAnsi="宋体" w:eastAsia="宋体" w:cs="宋体"/>
                <w:kern w:val="0"/>
                <w:sz w:val="20"/>
                <w:szCs w:val="20"/>
                <w:lang w:eastAsia="zh-CN"/>
              </w:rPr>
              <w:t>主要</w:t>
            </w:r>
            <w:r>
              <w:rPr>
                <w:rFonts w:hint="eastAsia" w:ascii="宋体" w:hAnsi="宋体" w:eastAsia="宋体" w:cs="宋体"/>
                <w:kern w:val="0"/>
                <w:sz w:val="20"/>
                <w:szCs w:val="20"/>
              </w:rPr>
              <w:t>内容</w:t>
            </w:r>
          </w:p>
        </w:tc>
        <w:tc>
          <w:tcPr>
            <w:tcW w:w="2160" w:type="dxa"/>
            <w:vMerge w:val="restart"/>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eastAsia="宋体"/>
                <w:kern w:val="0"/>
                <w:sz w:val="21"/>
                <w:lang w:eastAsia="zh-CN"/>
              </w:rPr>
            </w:pPr>
            <w:r>
              <w:rPr>
                <w:rFonts w:hint="eastAsia" w:ascii="宋体" w:hAnsi="宋体" w:eastAsia="宋体" w:cs="宋体"/>
                <w:kern w:val="0"/>
                <w:sz w:val="18"/>
                <w:szCs w:val="18"/>
              </w:rPr>
              <w:t>《中华人民共和国网络安全法》、《中华人民共和国数据安全法》、《中华人民共和国密码法》、《</w:t>
            </w:r>
            <w:r>
              <w:rPr>
                <w:rFonts w:hint="eastAsia" w:ascii="宋体" w:hAnsi="宋体" w:cs="宋体"/>
                <w:kern w:val="0"/>
                <w:sz w:val="18"/>
                <w:szCs w:val="18"/>
                <w:lang w:eastAsia="zh-CN"/>
              </w:rPr>
              <w:t>中华人民共和国</w:t>
            </w:r>
            <w:r>
              <w:rPr>
                <w:rFonts w:hint="eastAsia" w:ascii="宋体" w:hAnsi="宋体" w:eastAsia="宋体" w:cs="宋体"/>
                <w:kern w:val="0"/>
                <w:sz w:val="18"/>
                <w:szCs w:val="18"/>
              </w:rPr>
              <w:t>网络安全审查办法》、《GB/T 22239-2019信息安全技术网络安全等级保护基本要求》等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355"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eastAsia="宋体" w:cs="宋体"/>
                <w:kern w:val="0"/>
                <w:sz w:val="20"/>
                <w:szCs w:val="20"/>
              </w:rPr>
            </w:pPr>
            <w:r>
              <w:rPr>
                <w:rFonts w:hint="eastAsia" w:ascii="宋体" w:hAnsi="宋体" w:cs="宋体"/>
                <w:kern w:val="0"/>
                <w:sz w:val="20"/>
                <w:szCs w:val="20"/>
                <w:lang w:eastAsia="zh-CN"/>
              </w:rPr>
              <w:t>网络</w:t>
            </w:r>
            <w:r>
              <w:rPr>
                <w:rFonts w:hint="eastAsia" w:ascii="宋体" w:hAnsi="宋体" w:eastAsia="宋体" w:cs="宋体"/>
                <w:kern w:val="0"/>
                <w:sz w:val="20"/>
                <w:szCs w:val="20"/>
              </w:rPr>
              <w:t>安全标准</w:t>
            </w:r>
          </w:p>
        </w:tc>
        <w:tc>
          <w:tcPr>
            <w:tcW w:w="3600"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0"/>
                <w:szCs w:val="20"/>
                <w:lang w:eastAsia="zh-CN"/>
              </w:rPr>
            </w:pPr>
            <w:r>
              <w:rPr>
                <w:rFonts w:hint="eastAsia" w:ascii="宋体" w:hAnsi="宋体" w:cs="宋体"/>
                <w:kern w:val="0"/>
                <w:sz w:val="20"/>
                <w:szCs w:val="20"/>
                <w:lang w:eastAsia="zh-CN"/>
              </w:rPr>
              <w:t>掌握网络安全相关的</w:t>
            </w:r>
            <w:r>
              <w:rPr>
                <w:rFonts w:hint="eastAsia" w:ascii="宋体" w:hAnsi="宋体" w:eastAsia="宋体" w:cs="宋体"/>
                <w:kern w:val="0"/>
                <w:sz w:val="20"/>
                <w:szCs w:val="20"/>
              </w:rPr>
              <w:t>国家标准</w:t>
            </w:r>
            <w:r>
              <w:rPr>
                <w:rFonts w:hint="eastAsia" w:ascii="宋体" w:hAnsi="宋体" w:cs="宋体"/>
                <w:kern w:val="0"/>
                <w:sz w:val="20"/>
                <w:szCs w:val="20"/>
                <w:lang w:eastAsia="zh-CN"/>
              </w:rPr>
              <w:t>、行业标准</w:t>
            </w:r>
          </w:p>
        </w:tc>
        <w:tc>
          <w:tcPr>
            <w:tcW w:w="2160" w:type="dxa"/>
            <w:vMerge w:val="continue"/>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29"/>
              <w:spacing w:line="12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2355"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其他政策性文件</w:t>
            </w:r>
          </w:p>
        </w:tc>
        <w:tc>
          <w:tcPr>
            <w:tcW w:w="3600"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0"/>
                <w:sz w:val="20"/>
                <w:szCs w:val="20"/>
              </w:rPr>
            </w:pPr>
            <w:r>
              <w:rPr>
                <w:rFonts w:hint="eastAsia" w:ascii="宋体" w:hAnsi="宋体" w:cs="宋体"/>
                <w:kern w:val="0"/>
                <w:sz w:val="20"/>
                <w:szCs w:val="20"/>
                <w:lang w:eastAsia="zh-CN"/>
              </w:rPr>
              <w:t>了解</w:t>
            </w:r>
            <w:r>
              <w:rPr>
                <w:rFonts w:hint="eastAsia" w:ascii="宋体" w:hAnsi="宋体" w:eastAsia="宋体" w:cs="宋体"/>
                <w:kern w:val="0"/>
                <w:sz w:val="20"/>
                <w:szCs w:val="20"/>
              </w:rPr>
              <w:t>其他配套的政策性文件、法律法规解读等</w:t>
            </w:r>
          </w:p>
        </w:tc>
        <w:tc>
          <w:tcPr>
            <w:tcW w:w="2160" w:type="dxa"/>
            <w:vMerge w:val="continue"/>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kern w:val="0"/>
                <w:sz w:val="21"/>
              </w:rPr>
            </w:pPr>
          </w:p>
        </w:tc>
      </w:tr>
    </w:tbl>
    <w:p>
      <w:pPr>
        <w:pStyle w:val="29"/>
        <w:keepNext w:val="0"/>
        <w:keepLines w:val="0"/>
        <w:pageBreakBefore w:val="0"/>
        <w:widowControl w:val="0"/>
        <w:kinsoku/>
        <w:wordWrap/>
        <w:overflowPunct/>
        <w:topLinePunct w:val="0"/>
        <w:autoSpaceDE/>
        <w:autoSpaceDN/>
        <w:bidi w:val="0"/>
        <w:adjustRightInd/>
        <w:snapToGrid/>
        <w:spacing w:before="318" w:beforeLines="100" w:after="160" w:afterLines="50" w:line="120" w:lineRule="auto"/>
        <w:ind w:left="579" w:leftChars="0" w:hanging="579" w:hangingChars="276"/>
        <w:textAlignment w:val="auto"/>
        <w:rPr>
          <w:rFonts w:hint="eastAsia" w:ascii="黑体" w:hAnsi="黑体" w:eastAsia="黑体" w:cs="黑体"/>
          <w:kern w:val="0"/>
        </w:rPr>
      </w:pPr>
      <w:r>
        <w:rPr>
          <w:rFonts w:hint="eastAsia" w:ascii="黑体" w:hAnsi="黑体" w:eastAsia="黑体" w:cs="黑体"/>
          <w:kern w:val="0"/>
          <w:lang w:val="en-US" w:eastAsia="zh-CN"/>
        </w:rPr>
        <w:t>F.3.2</w:t>
      </w:r>
      <w:r>
        <w:rPr>
          <w:rFonts w:hint="eastAsia" w:ascii="黑体" w:hAnsi="黑体" w:eastAsia="黑体" w:cs="黑体"/>
          <w:kern w:val="0"/>
        </w:rPr>
        <w:t xml:space="preserve"> 密码学基础</w:t>
      </w:r>
    </w:p>
    <w:p>
      <w:pPr>
        <w:pStyle w:val="29"/>
        <w:keepNext w:val="0"/>
        <w:keepLines w:val="0"/>
        <w:pageBreakBefore w:val="0"/>
        <w:widowControl w:val="0"/>
        <w:kinsoku/>
        <w:wordWrap/>
        <w:overflowPunct/>
        <w:topLinePunct w:val="0"/>
        <w:autoSpaceDE/>
        <w:autoSpaceDN/>
        <w:bidi w:val="0"/>
        <w:adjustRightInd/>
        <w:snapToGrid/>
        <w:spacing w:before="318" w:beforeLines="100" w:after="160" w:afterLines="50" w:line="120" w:lineRule="auto"/>
        <w:ind w:left="579" w:leftChars="0" w:hanging="579" w:hangingChars="276"/>
        <w:jc w:val="center"/>
        <w:textAlignment w:val="auto"/>
        <w:rPr>
          <w:rFonts w:hint="default" w:ascii="黑体" w:hAnsi="黑体" w:eastAsia="黑体" w:cs="黑体"/>
          <w:kern w:val="0"/>
          <w:lang w:val="en-US" w:eastAsia="zh-CN"/>
        </w:rPr>
      </w:pPr>
      <w:r>
        <w:rPr>
          <w:rFonts w:hint="eastAsia" w:ascii="黑体" w:hAnsi="黑体" w:eastAsia="黑体" w:cs="黑体"/>
          <w:kern w:val="0"/>
          <w:lang w:val="en-US" w:eastAsia="zh-CN"/>
        </w:rPr>
        <w:t xml:space="preserve">表 F.3 </w:t>
      </w:r>
      <w:r>
        <w:rPr>
          <w:rFonts w:hint="eastAsia" w:ascii="黑体" w:hAnsi="黑体" w:eastAsia="黑体" w:cs="黑体"/>
          <w:kern w:val="0"/>
        </w:rPr>
        <w:t>密码学基础</w:t>
      </w:r>
      <w:r>
        <w:rPr>
          <w:rFonts w:hint="eastAsia" w:ascii="黑体" w:hAnsi="黑体" w:eastAsia="黑体" w:cs="黑体"/>
          <w:kern w:val="0"/>
          <w:lang w:eastAsia="zh-CN"/>
        </w:rPr>
        <w:t>课程内容与要求</w:t>
      </w:r>
    </w:p>
    <w:tbl>
      <w:tblPr>
        <w:tblStyle w:val="21"/>
        <w:tblW w:w="910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723"/>
        <w:gridCol w:w="430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章节号</w:t>
            </w:r>
          </w:p>
        </w:tc>
        <w:tc>
          <w:tcPr>
            <w:tcW w:w="1723"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章节名</w:t>
            </w:r>
          </w:p>
        </w:tc>
        <w:tc>
          <w:tcPr>
            <w:tcW w:w="4307"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内容与要求</w:t>
            </w:r>
          </w:p>
        </w:tc>
        <w:tc>
          <w:tcPr>
            <w:tcW w:w="2145"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网络安全基本概念</w:t>
            </w:r>
          </w:p>
        </w:tc>
        <w:tc>
          <w:tcPr>
            <w:tcW w:w="43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掌握安全三性，密码学基本算法</w:t>
            </w:r>
          </w:p>
        </w:tc>
        <w:tc>
          <w:tcPr>
            <w:tcW w:w="2145" w:type="dxa"/>
            <w:vMerge w:val="restart"/>
            <w:vAlign w:val="center"/>
          </w:tcPr>
          <w:p>
            <w:pPr>
              <w:pStyle w:val="29"/>
              <w:spacing w:line="120" w:lineRule="auto"/>
              <w:ind w:firstLine="0" w:firstLineChars="0"/>
              <w:jc w:val="both"/>
              <w:rPr>
                <w:kern w:val="0"/>
                <w:sz w:val="21"/>
              </w:rPr>
            </w:pPr>
            <w:r>
              <w:rPr>
                <w:rFonts w:hint="eastAsia" w:ascii="宋体" w:hAnsi="宋体" w:eastAsia="宋体" w:cs="宋体"/>
                <w:kern w:val="0"/>
                <w:sz w:val="18"/>
                <w:szCs w:val="18"/>
              </w:rPr>
              <w:t>《密码编码学与网络安全-原理与实践》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数论基础</w:t>
            </w:r>
          </w:p>
        </w:tc>
        <w:tc>
          <w:tcPr>
            <w:tcW w:w="4307"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掌握除法、模运算、素数、相关定理的应用</w:t>
            </w:r>
          </w:p>
        </w:tc>
        <w:tc>
          <w:tcPr>
            <w:tcW w:w="2145"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对称密码</w:t>
            </w:r>
          </w:p>
        </w:tc>
        <w:tc>
          <w:tcPr>
            <w:tcW w:w="4307"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掌握对称密码的概念、经典技术及应用</w:t>
            </w:r>
          </w:p>
        </w:tc>
        <w:tc>
          <w:tcPr>
            <w:tcW w:w="2145"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非对称密码</w:t>
            </w:r>
          </w:p>
        </w:tc>
        <w:tc>
          <w:tcPr>
            <w:tcW w:w="4307"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掌握非对称密码的概念、经典技术及应用</w:t>
            </w:r>
          </w:p>
        </w:tc>
        <w:tc>
          <w:tcPr>
            <w:tcW w:w="2145"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互信</w:t>
            </w:r>
          </w:p>
        </w:tc>
        <w:tc>
          <w:tcPr>
            <w:tcW w:w="4307"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0"/>
                <w:sz w:val="18"/>
                <w:szCs w:val="18"/>
              </w:rPr>
            </w:pPr>
            <w:r>
              <w:rPr>
                <w:rFonts w:hint="eastAsia" w:ascii="宋体" w:hAnsi="宋体" w:eastAsia="宋体" w:cs="宋体"/>
                <w:kern w:val="0"/>
                <w:sz w:val="18"/>
                <w:szCs w:val="18"/>
              </w:rPr>
              <w:t>掌握密钥分发、证书、签名、用户认证等经典应用场景</w:t>
            </w:r>
          </w:p>
        </w:tc>
        <w:tc>
          <w:tcPr>
            <w:tcW w:w="2145"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exact"/>
        </w:trPr>
        <w:tc>
          <w:tcPr>
            <w:tcW w:w="930"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72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网络和因特网安全</w:t>
            </w:r>
          </w:p>
        </w:tc>
        <w:tc>
          <w:tcPr>
            <w:tcW w:w="4307"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掌握密码技术在网络层、互联网应用、无线、邮件、云计算、物联网等领域的经典应用场景</w:t>
            </w:r>
            <w:r>
              <w:rPr>
                <w:rFonts w:hint="eastAsia" w:ascii="宋体" w:hAnsi="宋体" w:cs="宋体"/>
                <w:kern w:val="0"/>
                <w:sz w:val="18"/>
                <w:szCs w:val="18"/>
                <w:lang w:eastAsia="zh-CN"/>
              </w:rPr>
              <w:t>。</w:t>
            </w:r>
          </w:p>
        </w:tc>
        <w:tc>
          <w:tcPr>
            <w:tcW w:w="2145" w:type="dxa"/>
            <w:vMerge w:val="continue"/>
            <w:vAlign w:val="center"/>
          </w:tcPr>
          <w:p>
            <w:pPr>
              <w:pStyle w:val="29"/>
              <w:spacing w:line="120" w:lineRule="auto"/>
              <w:ind w:firstLine="0" w:firstLineChars="0"/>
              <w:jc w:val="both"/>
              <w:rPr>
                <w:kern w:val="0"/>
                <w:sz w:val="21"/>
              </w:rPr>
            </w:pPr>
          </w:p>
        </w:tc>
      </w:tr>
    </w:tbl>
    <w:p>
      <w:pPr>
        <w:pStyle w:val="29"/>
        <w:spacing w:line="120" w:lineRule="auto"/>
        <w:ind w:left="380" w:firstLine="0" w:firstLineChars="0"/>
        <w:rPr>
          <w:kern w:val="0"/>
        </w:rPr>
      </w:pPr>
    </w:p>
    <w:p>
      <w:pPr>
        <w:pStyle w:val="29"/>
        <w:keepNext w:val="0"/>
        <w:keepLines w:val="0"/>
        <w:pageBreakBefore w:val="0"/>
        <w:widowControl w:val="0"/>
        <w:kinsoku/>
        <w:wordWrap/>
        <w:overflowPunct/>
        <w:topLinePunct w:val="0"/>
        <w:autoSpaceDE/>
        <w:autoSpaceDN/>
        <w:bidi w:val="0"/>
        <w:adjustRightInd/>
        <w:snapToGrid/>
        <w:spacing w:after="160" w:afterLines="50" w:line="120" w:lineRule="auto"/>
        <w:ind w:left="378" w:leftChars="0" w:hanging="378" w:hangingChars="180"/>
        <w:textAlignment w:val="auto"/>
        <w:rPr>
          <w:rFonts w:hint="eastAsia" w:ascii="黑体" w:hAnsi="黑体" w:eastAsia="黑体" w:cs="黑体"/>
          <w:kern w:val="0"/>
        </w:rPr>
      </w:pPr>
      <w:r>
        <w:rPr>
          <w:rFonts w:hint="eastAsia" w:ascii="黑体" w:hAnsi="黑体" w:eastAsia="黑体" w:cs="黑体"/>
          <w:kern w:val="0"/>
          <w:lang w:val="en-US" w:eastAsia="zh-CN"/>
        </w:rPr>
        <w:t>F.3.3</w:t>
      </w:r>
      <w:r>
        <w:rPr>
          <w:rFonts w:hint="eastAsia" w:ascii="黑体" w:hAnsi="黑体" w:eastAsia="黑体" w:cs="黑体"/>
          <w:kern w:val="0"/>
        </w:rPr>
        <w:t xml:space="preserve"> 计算机网络</w:t>
      </w:r>
    </w:p>
    <w:p>
      <w:pPr>
        <w:pStyle w:val="29"/>
        <w:keepNext w:val="0"/>
        <w:keepLines w:val="0"/>
        <w:pageBreakBefore w:val="0"/>
        <w:widowControl w:val="0"/>
        <w:kinsoku/>
        <w:wordWrap/>
        <w:overflowPunct/>
        <w:topLinePunct w:val="0"/>
        <w:autoSpaceDE/>
        <w:autoSpaceDN/>
        <w:bidi w:val="0"/>
        <w:adjustRightInd/>
        <w:snapToGrid/>
        <w:spacing w:after="160" w:afterLines="50" w:line="120" w:lineRule="auto"/>
        <w:ind w:left="378" w:leftChars="0" w:hanging="378" w:hangingChars="180"/>
        <w:jc w:val="center"/>
        <w:textAlignment w:val="auto"/>
        <w:rPr>
          <w:rFonts w:hint="default" w:ascii="黑体" w:hAnsi="黑体" w:eastAsia="黑体" w:cs="黑体"/>
          <w:kern w:val="0"/>
          <w:lang w:val="en-US" w:eastAsia="zh-CN"/>
        </w:rPr>
      </w:pPr>
      <w:r>
        <w:rPr>
          <w:rFonts w:hint="eastAsia" w:ascii="黑体" w:hAnsi="黑体" w:eastAsia="黑体" w:cs="黑体"/>
          <w:kern w:val="0"/>
          <w:lang w:eastAsia="zh-CN"/>
        </w:rPr>
        <w:t>表</w:t>
      </w:r>
      <w:r>
        <w:rPr>
          <w:rFonts w:hint="eastAsia" w:ascii="黑体" w:hAnsi="黑体" w:eastAsia="黑体" w:cs="黑体"/>
          <w:kern w:val="0"/>
          <w:lang w:val="en-US" w:eastAsia="zh-CN"/>
        </w:rPr>
        <w:t>F.4 计算机网络课程内容与要求</w:t>
      </w:r>
    </w:p>
    <w:tbl>
      <w:tblPr>
        <w:tblStyle w:val="21"/>
        <w:tblW w:w="91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667"/>
        <w:gridCol w:w="445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章节号</w:t>
            </w:r>
          </w:p>
        </w:tc>
        <w:tc>
          <w:tcPr>
            <w:tcW w:w="1667"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章节名</w:t>
            </w:r>
          </w:p>
        </w:tc>
        <w:tc>
          <w:tcPr>
            <w:tcW w:w="4453"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内容与要求</w:t>
            </w:r>
          </w:p>
        </w:tc>
        <w:tc>
          <w:tcPr>
            <w:tcW w:w="2070" w:type="dxa"/>
            <w:vAlign w:val="center"/>
          </w:tcPr>
          <w:p>
            <w:pPr>
              <w:pStyle w:val="29"/>
              <w:spacing w:line="120" w:lineRule="auto"/>
              <w:ind w:firstLine="0" w:firstLineChars="0"/>
              <w:jc w:val="center"/>
              <w:rPr>
                <w:rFonts w:hint="eastAsia" w:ascii="黑体" w:hAnsi="黑体" w:eastAsia="黑体" w:cs="黑体"/>
                <w:kern w:val="0"/>
                <w:sz w:val="21"/>
              </w:rPr>
            </w:pPr>
            <w:r>
              <w:rPr>
                <w:rFonts w:hint="eastAsia" w:ascii="黑体" w:hAnsi="黑体" w:eastAsia="黑体" w:cs="黑体"/>
                <w:kern w:val="0"/>
                <w:sz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66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网络体系结构概述</w:t>
            </w:r>
          </w:p>
        </w:tc>
        <w:tc>
          <w:tcPr>
            <w:tcW w:w="4453" w:type="dxa"/>
            <w:vAlign w:val="center"/>
          </w:tcPr>
          <w:p>
            <w:pPr>
              <w:spacing w:line="120" w:lineRule="auto"/>
              <w:jc w:val="left"/>
              <w:rPr>
                <w:rFonts w:hint="eastAsia" w:ascii="宋体" w:hAnsi="宋体" w:eastAsia="宋体" w:cs="宋体"/>
                <w:kern w:val="0"/>
                <w:sz w:val="18"/>
                <w:szCs w:val="18"/>
              </w:rPr>
            </w:pPr>
            <w:r>
              <w:rPr>
                <w:rFonts w:hint="eastAsia" w:ascii="宋体" w:hAnsi="宋体" w:eastAsia="宋体" w:cs="宋体"/>
                <w:kern w:val="0"/>
                <w:sz w:val="18"/>
                <w:szCs w:val="18"/>
              </w:rPr>
              <w:t>掌握TCP/</w:t>
            </w:r>
            <w:r>
              <w:rPr>
                <w:rFonts w:hint="eastAsia" w:ascii="宋体" w:hAnsi="宋体" w:eastAsia="宋体" w:cs="宋体"/>
                <w:kern w:val="0"/>
                <w:sz w:val="18"/>
                <w:szCs w:val="18"/>
                <w:lang w:eastAsia="zh-CN"/>
              </w:rPr>
              <w:t>H</w:t>
            </w:r>
            <w:r>
              <w:rPr>
                <w:rFonts w:hint="eastAsia" w:ascii="宋体" w:hAnsi="宋体" w:eastAsia="宋体" w:cs="宋体"/>
                <w:kern w:val="0"/>
                <w:sz w:val="18"/>
                <w:szCs w:val="18"/>
              </w:rPr>
              <w:t>P的核心目标和体系结构概念</w:t>
            </w:r>
          </w:p>
        </w:tc>
        <w:tc>
          <w:tcPr>
            <w:tcW w:w="2070" w:type="dxa"/>
            <w:vMerge w:val="restart"/>
            <w:vAlign w:val="center"/>
          </w:tcPr>
          <w:p>
            <w:pPr>
              <w:pStyle w:val="29"/>
              <w:spacing w:line="120" w:lineRule="auto"/>
              <w:ind w:firstLine="0" w:firstLineChars="0"/>
              <w:jc w:val="both"/>
              <w:rPr>
                <w:kern w:val="0"/>
                <w:sz w:val="21"/>
              </w:rPr>
            </w:pPr>
            <w:r>
              <w:rPr>
                <w:rFonts w:hint="eastAsia"/>
                <w:kern w:val="0"/>
                <w:sz w:val="18"/>
                <w:szCs w:val="18"/>
              </w:rPr>
              <w:t>《TCP/</w:t>
            </w:r>
            <w:r>
              <w:rPr>
                <w:rFonts w:hint="eastAsia"/>
                <w:kern w:val="0"/>
                <w:sz w:val="18"/>
                <w:szCs w:val="18"/>
                <w:lang w:eastAsia="zh-CN"/>
              </w:rPr>
              <w:t>H</w:t>
            </w:r>
            <w:r>
              <w:rPr>
                <w:rFonts w:hint="eastAsia"/>
                <w:kern w:val="0"/>
                <w:sz w:val="18"/>
                <w:szCs w:val="18"/>
              </w:rPr>
              <w:t>P详解》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66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网络协议</w:t>
            </w:r>
          </w:p>
        </w:tc>
        <w:tc>
          <w:tcPr>
            <w:tcW w:w="4453" w:type="dxa"/>
            <w:vAlign w:val="center"/>
          </w:tcPr>
          <w:p>
            <w:pPr>
              <w:pStyle w:val="29"/>
              <w:spacing w:line="120" w:lineRule="auto"/>
              <w:ind w:firstLine="0" w:firstLine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掌握链路层、网络层、传输层、应用层等协议内容与经典应用场景</w:t>
            </w:r>
            <w:r>
              <w:rPr>
                <w:rFonts w:hint="eastAsia" w:ascii="宋体" w:hAnsi="宋体" w:cs="宋体"/>
                <w:kern w:val="0"/>
                <w:sz w:val="18"/>
                <w:szCs w:val="18"/>
                <w:lang w:eastAsia="zh-CN"/>
              </w:rPr>
              <w:t>。</w:t>
            </w:r>
          </w:p>
        </w:tc>
        <w:tc>
          <w:tcPr>
            <w:tcW w:w="2070"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66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网络安全基础知识</w:t>
            </w:r>
          </w:p>
        </w:tc>
        <w:tc>
          <w:tcPr>
            <w:tcW w:w="4453" w:type="dxa"/>
            <w:vAlign w:val="center"/>
          </w:tcPr>
          <w:p>
            <w:pPr>
              <w:pStyle w:val="29"/>
              <w:spacing w:line="120" w:lineRule="auto"/>
              <w:ind w:firstLine="0" w:firstLineChars="0"/>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掌握EAP、</w:t>
            </w:r>
            <w:r>
              <w:rPr>
                <w:rFonts w:hint="eastAsia" w:ascii="宋体" w:hAnsi="宋体" w:cs="宋体"/>
                <w:kern w:val="0"/>
                <w:sz w:val="18"/>
                <w:szCs w:val="18"/>
                <w:lang w:eastAsia="zh-CN"/>
              </w:rPr>
              <w:t>H</w:t>
            </w:r>
            <w:r>
              <w:rPr>
                <w:rFonts w:hint="eastAsia" w:ascii="宋体" w:hAnsi="宋体" w:eastAsia="宋体" w:cs="宋体"/>
                <w:kern w:val="0"/>
                <w:sz w:val="18"/>
                <w:szCs w:val="18"/>
              </w:rPr>
              <w:t>Psec、TLS、DNSSEC等网络安全基础知识</w:t>
            </w:r>
            <w:r>
              <w:rPr>
                <w:rFonts w:hint="eastAsia" w:ascii="宋体" w:hAnsi="宋体" w:cs="宋体"/>
                <w:kern w:val="0"/>
                <w:sz w:val="18"/>
                <w:szCs w:val="18"/>
                <w:lang w:eastAsia="zh-CN"/>
              </w:rPr>
              <w:t>。</w:t>
            </w:r>
          </w:p>
        </w:tc>
        <w:tc>
          <w:tcPr>
            <w:tcW w:w="2070" w:type="dxa"/>
            <w:vMerge w:val="continue"/>
            <w:vAlign w:val="center"/>
          </w:tcPr>
          <w:p>
            <w:pPr>
              <w:pStyle w:val="29"/>
              <w:spacing w:line="120" w:lineRule="auto"/>
              <w:ind w:firstLine="0" w:firstLineChars="0"/>
              <w:jc w:val="both"/>
              <w:rPr>
                <w:kern w:val="0"/>
                <w:sz w:val="21"/>
              </w:rPr>
            </w:pPr>
          </w:p>
        </w:tc>
      </w:tr>
    </w:tbl>
    <w:p>
      <w:pPr>
        <w:pStyle w:val="29"/>
        <w:spacing w:line="120" w:lineRule="auto"/>
        <w:ind w:left="380" w:firstLine="0" w:firstLineChars="0"/>
        <w:rPr>
          <w:kern w:val="0"/>
        </w:rPr>
      </w:pPr>
    </w:p>
    <w:p>
      <w:pPr>
        <w:pStyle w:val="29"/>
        <w:keepNext w:val="0"/>
        <w:keepLines w:val="0"/>
        <w:pageBreakBefore w:val="0"/>
        <w:widowControl w:val="0"/>
        <w:kinsoku/>
        <w:wordWrap/>
        <w:overflowPunct/>
        <w:topLinePunct w:val="0"/>
        <w:autoSpaceDE/>
        <w:autoSpaceDN/>
        <w:bidi w:val="0"/>
        <w:adjustRightInd/>
        <w:snapToGrid/>
        <w:spacing w:after="160" w:afterLines="50" w:line="120" w:lineRule="auto"/>
        <w:ind w:left="378" w:leftChars="0" w:hanging="378" w:hangingChars="180"/>
        <w:textAlignment w:val="auto"/>
        <w:rPr>
          <w:rFonts w:hint="eastAsia" w:ascii="黑体" w:hAnsi="黑体" w:eastAsia="黑体" w:cs="黑体"/>
          <w:kern w:val="0"/>
        </w:rPr>
      </w:pPr>
      <w:r>
        <w:rPr>
          <w:rFonts w:hint="eastAsia" w:ascii="黑体" w:hAnsi="黑体" w:eastAsia="黑体" w:cs="黑体"/>
          <w:kern w:val="0"/>
          <w:lang w:val="en-US" w:eastAsia="zh-CN"/>
        </w:rPr>
        <w:t>F.3.4</w:t>
      </w:r>
      <w:r>
        <w:rPr>
          <w:rFonts w:hint="eastAsia" w:ascii="黑体" w:hAnsi="黑体" w:eastAsia="黑体" w:cs="黑体"/>
          <w:kern w:val="0"/>
        </w:rPr>
        <w:t xml:space="preserve">  计算机网络安全</w:t>
      </w:r>
    </w:p>
    <w:p>
      <w:pPr>
        <w:pStyle w:val="29"/>
        <w:keepNext w:val="0"/>
        <w:keepLines w:val="0"/>
        <w:pageBreakBefore w:val="0"/>
        <w:widowControl w:val="0"/>
        <w:kinsoku/>
        <w:wordWrap/>
        <w:overflowPunct/>
        <w:topLinePunct w:val="0"/>
        <w:autoSpaceDE/>
        <w:autoSpaceDN/>
        <w:bidi w:val="0"/>
        <w:adjustRightInd/>
        <w:snapToGrid/>
        <w:spacing w:after="160" w:afterLines="50" w:line="120" w:lineRule="auto"/>
        <w:ind w:left="378" w:leftChars="0" w:hanging="378" w:hangingChars="180"/>
        <w:jc w:val="center"/>
        <w:textAlignment w:val="auto"/>
        <w:rPr>
          <w:rFonts w:hint="eastAsia" w:ascii="黑体" w:hAnsi="黑体" w:eastAsia="黑体" w:cs="黑体"/>
          <w:kern w:val="0"/>
        </w:rPr>
      </w:pPr>
      <w:r>
        <w:rPr>
          <w:rFonts w:hint="eastAsia" w:ascii="黑体" w:hAnsi="黑体" w:eastAsia="黑体" w:cs="黑体"/>
          <w:kern w:val="0"/>
          <w:lang w:eastAsia="zh-CN"/>
        </w:rPr>
        <w:t>表</w:t>
      </w:r>
      <w:r>
        <w:rPr>
          <w:rFonts w:hint="eastAsia" w:ascii="黑体" w:hAnsi="黑体" w:eastAsia="黑体" w:cs="黑体"/>
          <w:kern w:val="0"/>
          <w:lang w:val="en-US" w:eastAsia="zh-CN"/>
        </w:rPr>
        <w:t>F.5 计算机网络课程内容与要求</w:t>
      </w:r>
    </w:p>
    <w:tbl>
      <w:tblPr>
        <w:tblStyle w:val="21"/>
        <w:tblW w:w="9195"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757"/>
        <w:gridCol w:w="4438"/>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章节号</w:t>
            </w:r>
          </w:p>
        </w:tc>
        <w:tc>
          <w:tcPr>
            <w:tcW w:w="1757" w:type="dxa"/>
            <w:vAlign w:val="center"/>
          </w:tcPr>
          <w:p>
            <w:pPr>
              <w:pStyle w:val="29"/>
              <w:spacing w:line="12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章节名</w:t>
            </w:r>
          </w:p>
        </w:tc>
        <w:tc>
          <w:tcPr>
            <w:tcW w:w="4438" w:type="dxa"/>
            <w:vAlign w:val="center"/>
          </w:tcPr>
          <w:p>
            <w:pPr>
              <w:pStyle w:val="29"/>
              <w:spacing w:line="12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内容与要求</w:t>
            </w:r>
          </w:p>
        </w:tc>
        <w:tc>
          <w:tcPr>
            <w:tcW w:w="2100" w:type="dxa"/>
            <w:vAlign w:val="center"/>
          </w:tcPr>
          <w:p>
            <w:pPr>
              <w:pStyle w:val="29"/>
              <w:spacing w:line="120" w:lineRule="auto"/>
              <w:ind w:firstLine="0" w:firstLineChars="0"/>
              <w:jc w:val="center"/>
              <w:rPr>
                <w:rFonts w:hint="eastAsia" w:ascii="黑体" w:hAnsi="黑体" w:eastAsia="黑体" w:cs="黑体"/>
                <w:kern w:val="0"/>
                <w:sz w:val="21"/>
                <w:szCs w:val="21"/>
              </w:rPr>
            </w:pPr>
            <w:r>
              <w:rPr>
                <w:rFonts w:hint="eastAsia" w:ascii="黑体" w:hAnsi="黑体" w:eastAsia="黑体" w:cs="黑体"/>
                <w:kern w:val="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5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网络安全概论</w:t>
            </w:r>
          </w:p>
        </w:tc>
        <w:tc>
          <w:tcPr>
            <w:tcW w:w="4438" w:type="dxa"/>
            <w:vAlign w:val="center"/>
          </w:tcPr>
          <w:p>
            <w:pPr>
              <w:spacing w:line="120" w:lineRule="auto"/>
              <w:jc w:val="left"/>
              <w:rPr>
                <w:rFonts w:hint="eastAsia" w:ascii="宋体" w:hAnsi="宋体" w:eastAsia="宋体" w:cs="宋体"/>
                <w:kern w:val="0"/>
                <w:sz w:val="18"/>
                <w:szCs w:val="18"/>
              </w:rPr>
            </w:pPr>
            <w:r>
              <w:rPr>
                <w:rFonts w:hint="eastAsia" w:ascii="宋体" w:hAnsi="宋体" w:eastAsia="宋体" w:cs="宋体"/>
                <w:kern w:val="0"/>
                <w:sz w:val="18"/>
                <w:szCs w:val="18"/>
              </w:rPr>
              <w:t>介绍网络安全基本概念，掌握网络安全概念与目标，安全技术发展等</w:t>
            </w:r>
          </w:p>
        </w:tc>
        <w:tc>
          <w:tcPr>
            <w:tcW w:w="2100" w:type="dxa"/>
            <w:vMerge w:val="restart"/>
            <w:vAlign w:val="center"/>
          </w:tcPr>
          <w:p>
            <w:pPr>
              <w:pStyle w:val="29"/>
              <w:spacing w:line="120" w:lineRule="auto"/>
              <w:ind w:firstLine="0" w:firstLineChars="0"/>
              <w:jc w:val="both"/>
              <w:rPr>
                <w:kern w:val="0"/>
                <w:sz w:val="21"/>
              </w:rPr>
            </w:pPr>
            <w:r>
              <w:rPr>
                <w:rFonts w:hint="eastAsia"/>
                <w:kern w:val="0"/>
                <w:sz w:val="18"/>
                <w:szCs w:val="18"/>
              </w:rPr>
              <w:t>《计算机网络安全原理》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5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网络安全基础内容</w:t>
            </w:r>
          </w:p>
        </w:tc>
        <w:tc>
          <w:tcPr>
            <w:tcW w:w="4438" w:type="dxa"/>
            <w:vAlign w:val="center"/>
          </w:tcPr>
          <w:p>
            <w:pPr>
              <w:jc w:val="left"/>
              <w:rPr>
                <w:rFonts w:hint="eastAsia" w:ascii="宋体" w:hAnsi="宋体" w:eastAsia="宋体" w:cs="宋体"/>
                <w:kern w:val="0"/>
                <w:sz w:val="18"/>
                <w:szCs w:val="18"/>
              </w:rPr>
            </w:pPr>
            <w:r>
              <w:rPr>
                <w:rFonts w:hint="eastAsia" w:ascii="宋体" w:hAnsi="宋体" w:eastAsia="宋体" w:cs="宋体"/>
                <w:kern w:val="0"/>
                <w:sz w:val="18"/>
                <w:szCs w:val="18"/>
              </w:rPr>
              <w:t>掌握密码学基础、</w:t>
            </w:r>
            <w:r>
              <w:rPr>
                <w:rFonts w:hint="eastAsia" w:ascii="宋体" w:hAnsi="宋体" w:eastAsia="宋体" w:cs="宋体"/>
                <w:kern w:val="0"/>
                <w:sz w:val="18"/>
                <w:szCs w:val="18"/>
                <w:lang w:eastAsia="zh-CN"/>
              </w:rPr>
              <w:t>数字</w:t>
            </w:r>
            <w:r>
              <w:rPr>
                <w:rFonts w:hint="eastAsia" w:ascii="宋体" w:hAnsi="宋体" w:eastAsia="宋体" w:cs="宋体"/>
                <w:kern w:val="0"/>
                <w:sz w:val="18"/>
                <w:szCs w:val="18"/>
              </w:rPr>
              <w:t>认证、数字签名、身份认证、数字证书、PK</w:t>
            </w:r>
            <w:r>
              <w:rPr>
                <w:rFonts w:hint="eastAsia" w:ascii="宋体" w:hAnsi="宋体" w:eastAsia="宋体" w:cs="宋体"/>
                <w:kern w:val="0"/>
                <w:sz w:val="18"/>
                <w:szCs w:val="18"/>
                <w:lang w:eastAsia="zh-CN"/>
              </w:rPr>
              <w:t>H</w:t>
            </w:r>
            <w:r>
              <w:rPr>
                <w:rFonts w:hint="eastAsia" w:ascii="宋体" w:hAnsi="宋体" w:eastAsia="宋体" w:cs="宋体"/>
                <w:kern w:val="0"/>
                <w:sz w:val="18"/>
                <w:szCs w:val="18"/>
              </w:rPr>
              <w:t>等内容</w:t>
            </w:r>
          </w:p>
        </w:tc>
        <w:tc>
          <w:tcPr>
            <w:tcW w:w="2100"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5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网络层协议安全</w:t>
            </w:r>
          </w:p>
        </w:tc>
        <w:tc>
          <w:tcPr>
            <w:tcW w:w="4438"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掌握各网络层协议内容、脆弱性与安全协议</w:t>
            </w:r>
          </w:p>
        </w:tc>
        <w:tc>
          <w:tcPr>
            <w:tcW w:w="2100"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75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常见网络安全攻防内容</w:t>
            </w:r>
          </w:p>
        </w:tc>
        <w:tc>
          <w:tcPr>
            <w:tcW w:w="4438"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包括web安全、邮件安全、DDOS、防火墙、恶意代码、入侵监测等内容</w:t>
            </w:r>
          </w:p>
        </w:tc>
        <w:tc>
          <w:tcPr>
            <w:tcW w:w="2100" w:type="dxa"/>
            <w:vMerge w:val="continue"/>
            <w:vAlign w:val="center"/>
          </w:tcPr>
          <w:p>
            <w:pPr>
              <w:pStyle w:val="29"/>
              <w:spacing w:line="120" w:lineRule="auto"/>
              <w:ind w:firstLine="0" w:firstLineChars="0"/>
              <w:jc w:val="both"/>
              <w:rPr>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29"/>
              <w:spacing w:line="120" w:lineRule="auto"/>
              <w:ind w:firstLine="0" w:firstLineChars="0"/>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757"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网络安全新技术</w:t>
            </w:r>
          </w:p>
        </w:tc>
        <w:tc>
          <w:tcPr>
            <w:tcW w:w="4438" w:type="dxa"/>
            <w:vAlign w:val="center"/>
          </w:tcPr>
          <w:p>
            <w:pPr>
              <w:pStyle w:val="29"/>
              <w:spacing w:line="120" w:lineRule="auto"/>
              <w:ind w:firstLine="0" w:firstLineChars="0"/>
              <w:jc w:val="left"/>
              <w:rPr>
                <w:rFonts w:hint="eastAsia" w:ascii="宋体" w:hAnsi="宋体" w:eastAsia="宋体" w:cs="宋体"/>
                <w:kern w:val="0"/>
                <w:sz w:val="18"/>
                <w:szCs w:val="18"/>
              </w:rPr>
            </w:pPr>
            <w:r>
              <w:rPr>
                <w:rFonts w:hint="eastAsia" w:ascii="宋体" w:hAnsi="宋体" w:eastAsia="宋体" w:cs="宋体"/>
                <w:kern w:val="0"/>
                <w:sz w:val="18"/>
                <w:szCs w:val="18"/>
              </w:rPr>
              <w:t>包括SDN、零信任等</w:t>
            </w:r>
          </w:p>
        </w:tc>
        <w:tc>
          <w:tcPr>
            <w:tcW w:w="2100" w:type="dxa"/>
            <w:vMerge w:val="continue"/>
            <w:vAlign w:val="center"/>
          </w:tcPr>
          <w:p>
            <w:pPr>
              <w:pStyle w:val="29"/>
              <w:spacing w:line="120" w:lineRule="auto"/>
              <w:ind w:firstLine="0" w:firstLineChars="0"/>
              <w:jc w:val="both"/>
              <w:rPr>
                <w:kern w:val="0"/>
                <w:sz w:val="21"/>
              </w:rPr>
            </w:pPr>
          </w:p>
        </w:tc>
      </w:tr>
    </w:tbl>
    <w:p>
      <w:pPr>
        <w:pStyle w:val="29"/>
        <w:spacing w:line="120" w:lineRule="auto"/>
        <w:ind w:left="380" w:firstLine="0" w:firstLineChars="0"/>
        <w:rPr>
          <w:kern w:val="0"/>
        </w:rPr>
      </w:pPr>
    </w:p>
    <w:p>
      <w:pPr>
        <w:pStyle w:val="29"/>
        <w:numPr>
          <w:ilvl w:val="0"/>
          <w:numId w:val="0"/>
        </w:numPr>
        <w:spacing w:line="120" w:lineRule="auto"/>
        <w:ind w:leftChars="0"/>
        <w:rPr>
          <w:rFonts w:hint="eastAsia" w:ascii="黑体" w:hAnsi="黑体" w:eastAsia="黑体" w:cs="黑体"/>
          <w:b w:val="0"/>
          <w:bCs w:val="0"/>
          <w:kern w:val="0"/>
        </w:rPr>
      </w:pPr>
      <w:r>
        <w:rPr>
          <w:rFonts w:hint="eastAsia" w:ascii="黑体" w:hAnsi="黑体" w:eastAsia="黑体" w:cs="黑体"/>
          <w:b w:val="0"/>
          <w:bCs w:val="0"/>
          <w:kern w:val="0"/>
          <w:lang w:val="en-US" w:eastAsia="zh-CN"/>
        </w:rPr>
        <w:t xml:space="preserve">F.4 </w:t>
      </w:r>
      <w:r>
        <w:rPr>
          <w:rFonts w:hint="eastAsia" w:ascii="黑体" w:hAnsi="黑体" w:eastAsia="黑体" w:cs="黑体"/>
          <w:b w:val="0"/>
          <w:bCs w:val="0"/>
          <w:kern w:val="0"/>
        </w:rPr>
        <w:t>考试说明</w:t>
      </w:r>
    </w:p>
    <w:p>
      <w:pPr>
        <w:keepNext w:val="0"/>
        <w:keepLines w:val="0"/>
        <w:pageBreakBefore w:val="0"/>
        <w:widowControl w:val="0"/>
        <w:kinsoku/>
        <w:wordWrap/>
        <w:overflowPunct/>
        <w:topLinePunct w:val="0"/>
        <w:autoSpaceDE/>
        <w:autoSpaceDN/>
        <w:bidi w:val="0"/>
        <w:adjustRightInd/>
        <w:snapToGrid/>
        <w:spacing w:before="160" w:beforeLines="50" w:after="160" w:afterLines="50" w:line="120" w:lineRule="auto"/>
        <w:textAlignment w:val="auto"/>
        <w:rPr>
          <w:rFonts w:hint="eastAsia" w:ascii="黑体" w:hAnsi="黑体" w:eastAsia="黑体" w:cs="黑体"/>
          <w:kern w:val="0"/>
          <w:szCs w:val="21"/>
        </w:rPr>
      </w:pPr>
      <w:r>
        <w:rPr>
          <w:rFonts w:hint="eastAsia" w:ascii="黑体" w:hAnsi="黑体" w:eastAsia="黑体" w:cs="黑体"/>
          <w:b w:val="0"/>
          <w:bCs w:val="0"/>
          <w:kern w:val="0"/>
          <w:lang w:val="en-US" w:eastAsia="zh-CN"/>
        </w:rPr>
        <w:t>F.4 .1</w:t>
      </w:r>
      <w:r>
        <w:rPr>
          <w:rFonts w:hint="eastAsia" w:ascii="黑体" w:hAnsi="黑体" w:eastAsia="黑体" w:cs="黑体"/>
          <w:kern w:val="0"/>
          <w:szCs w:val="21"/>
        </w:rPr>
        <w:t xml:space="preserve"> 题型</w:t>
      </w:r>
    </w:p>
    <w:tbl>
      <w:tblPr>
        <w:tblStyle w:val="21"/>
        <w:tblW w:w="918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2210"/>
        <w:gridCol w:w="2073"/>
        <w:gridCol w:w="3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题型</w:t>
            </w:r>
          </w:p>
        </w:tc>
        <w:tc>
          <w:tcPr>
            <w:tcW w:w="22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数量</w:t>
            </w:r>
          </w:p>
        </w:tc>
        <w:tc>
          <w:tcPr>
            <w:tcW w:w="2073"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单题分值（分）</w:t>
            </w:r>
          </w:p>
        </w:tc>
        <w:tc>
          <w:tcPr>
            <w:tcW w:w="3187"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单项选择</w:t>
            </w:r>
          </w:p>
        </w:tc>
        <w:tc>
          <w:tcPr>
            <w:tcW w:w="2210"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c>
          <w:tcPr>
            <w:tcW w:w="2073"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3187"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多项选择</w:t>
            </w:r>
          </w:p>
        </w:tc>
        <w:tc>
          <w:tcPr>
            <w:tcW w:w="22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0</w:t>
            </w:r>
          </w:p>
        </w:tc>
        <w:tc>
          <w:tcPr>
            <w:tcW w:w="2073"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3187"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判断题</w:t>
            </w:r>
          </w:p>
        </w:tc>
        <w:tc>
          <w:tcPr>
            <w:tcW w:w="2210" w:type="dxa"/>
          </w:tcPr>
          <w:p>
            <w:pPr>
              <w:spacing w:line="120" w:lineRule="auto"/>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0</w:t>
            </w:r>
          </w:p>
        </w:tc>
        <w:tc>
          <w:tcPr>
            <w:tcW w:w="2073"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3187" w:type="dxa"/>
          </w:tcPr>
          <w:p>
            <w:pPr>
              <w:spacing w:line="12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r>
    </w:tbl>
    <w:p>
      <w:pPr>
        <w:spacing w:line="120" w:lineRule="auto"/>
        <w:rPr>
          <w:rFonts w:ascii="Times New Roman" w:hAnsi="Times New Roman" w:eastAsia="宋体" w:cs="Times New Roman"/>
          <w:kern w:val="0"/>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szCs w:val="21"/>
        </w:rPr>
      </w:pPr>
      <w:r>
        <w:rPr>
          <w:rFonts w:hint="eastAsia" w:ascii="黑体" w:hAnsi="黑体" w:eastAsia="黑体" w:cs="黑体"/>
          <w:b w:val="0"/>
          <w:bCs w:val="0"/>
          <w:kern w:val="0"/>
          <w:lang w:val="en-US" w:eastAsia="zh-CN"/>
        </w:rPr>
        <w:t>F.4 .2</w:t>
      </w:r>
      <w:r>
        <w:rPr>
          <w:rFonts w:hint="eastAsia" w:ascii="黑体" w:hAnsi="黑体" w:eastAsia="黑体" w:cs="黑体"/>
          <w:kern w:val="0"/>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Times New Roman" w:hAnsi="Times New Roman" w:eastAsia="宋体" w:cs="Times New Roman"/>
          <w:kern w:val="0"/>
          <w:szCs w:val="21"/>
        </w:rPr>
      </w:pPr>
      <w:r>
        <w:rPr>
          <w:rFonts w:hint="eastAsia" w:ascii="Times New Roman" w:hAnsi="Times New Roman" w:eastAsia="宋体" w:cs="Times New Roman"/>
          <w:kern w:val="0"/>
          <w:szCs w:val="21"/>
        </w:rPr>
        <w:t>总考试时间为1</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分钟，提前1</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分钟进入考场，迟到3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分钟以上的视为放弃考试，考试开始后3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分钟内离场的成绩无效。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kern w:val="0"/>
          <w:szCs w:val="21"/>
        </w:rPr>
      </w:pPr>
      <w:r>
        <w:rPr>
          <w:rFonts w:hint="eastAsia" w:ascii="黑体" w:hAnsi="黑体" w:eastAsia="黑体" w:cs="黑体"/>
          <w:b w:val="0"/>
          <w:bCs w:val="0"/>
          <w:kern w:val="0"/>
          <w:lang w:val="en-US" w:eastAsia="zh-CN"/>
        </w:rPr>
        <w:t>F.4 .3</w:t>
      </w:r>
      <w:r>
        <w:rPr>
          <w:rFonts w:hint="eastAsia" w:ascii="黑体" w:hAnsi="黑体" w:eastAsia="黑体" w:cs="黑体"/>
          <w:kern w:val="0"/>
          <w:szCs w:val="21"/>
        </w:rPr>
        <w:t>考试合格标准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rPr>
        <w:t>考试满分为1</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分，考试成绩</w:t>
      </w:r>
      <w:r>
        <w:rPr>
          <w:rFonts w:hint="eastAsia" w:ascii="Times New Roman" w:hAnsi="Times New Roman" w:eastAsia="宋体" w:cs="Times New Roman"/>
          <w:kern w:val="0"/>
          <w:szCs w:val="21"/>
          <w:lang w:val="en-US" w:eastAsia="zh-CN"/>
        </w:rPr>
        <w:t>60</w:t>
      </w:r>
      <w:r>
        <w:rPr>
          <w:rFonts w:hint="eastAsia" w:ascii="Times New Roman" w:hAnsi="Times New Roman" w:eastAsia="宋体" w:cs="Times New Roman"/>
          <w:kern w:val="0"/>
          <w:szCs w:val="21"/>
        </w:rPr>
        <w:t>分以上为合格</w:t>
      </w:r>
      <w:r>
        <w:rPr>
          <w:rFonts w:hint="eastAsia" w:ascii="Times New Roman" w:hAnsi="Times New Roman" w:eastAsia="宋体" w:cs="Times New Roman"/>
          <w:kern w:val="0"/>
          <w:szCs w:val="21"/>
          <w:lang w:eastAsia="zh-CN"/>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黑体" w:hAnsi="黑体" w:eastAsia="黑体" w:cs="黑体"/>
          <w:b w:val="0"/>
          <w:bCs w:val="0"/>
          <w:color w:val="000000" w:themeColor="text1"/>
          <w:szCs w:val="21"/>
          <w:lang w:val="en-US" w:eastAsia="zh-CN"/>
          <w14:textFill>
            <w14:solidFill>
              <w14:schemeClr w14:val="tx1"/>
            </w14:solidFill>
          </w14:textFill>
        </w:rPr>
      </w:pPr>
      <w:bookmarkStart w:id="70" w:name="_Toc7828"/>
      <w:r>
        <w:rPr>
          <w:rFonts w:hint="eastAsia" w:ascii="黑体" w:hAnsi="黑体" w:eastAsia="黑体" w:cs="黑体"/>
          <w:b w:val="0"/>
          <w:bCs w:val="0"/>
          <w:color w:val="000000" w:themeColor="text1"/>
          <w:szCs w:val="21"/>
          <w14:textFill>
            <w14:solidFill>
              <w14:schemeClr w14:val="tx1"/>
            </w14:solidFill>
          </w14:textFill>
        </w:rPr>
        <w:t>附</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w:t>
      </w:r>
      <w:r>
        <w:rPr>
          <w:rFonts w:hint="eastAsia" w:ascii="黑体" w:hAnsi="黑体" w:eastAsia="黑体" w:cs="黑体"/>
          <w:b w:val="0"/>
          <w:bCs w:val="0"/>
          <w:color w:val="000000" w:themeColor="text1"/>
          <w:szCs w:val="21"/>
          <w14:textFill>
            <w14:solidFill>
              <w14:schemeClr w14:val="tx1"/>
            </w14:solidFill>
          </w14:textFill>
        </w:rPr>
        <w:t>录</w:t>
      </w:r>
      <w:r>
        <w:rPr>
          <w:rFonts w:hint="eastAsia" w:ascii="黑体" w:hAnsi="黑体" w:eastAsia="黑体" w:cs="黑体"/>
          <w:b w:val="0"/>
          <w:bCs w:val="0"/>
          <w:color w:val="000000" w:themeColor="text1"/>
          <w:szCs w:val="21"/>
          <w:lang w:val="en-US" w:eastAsia="zh-CN"/>
          <w14:textFill>
            <w14:solidFill>
              <w14:schemeClr w14:val="tx1"/>
            </w14:solidFill>
          </w14:textFill>
        </w:rPr>
        <w:t xml:space="preserve"> G</w:t>
      </w:r>
      <w:bookmarkEnd w:id="70"/>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黑体" w:hAnsi="黑体" w:eastAsia="黑体" w:cs="黑体"/>
          <w:b w:val="0"/>
          <w:bCs w:val="0"/>
          <w:color w:val="000000" w:themeColor="text1"/>
          <w:szCs w:val="21"/>
          <w:lang w:val="en-US" w:eastAsia="zh-CN"/>
          <w14:textFill>
            <w14:solidFill>
              <w14:schemeClr w14:val="tx1"/>
            </w14:solidFill>
          </w14:textFill>
        </w:rPr>
      </w:pPr>
      <w:bookmarkStart w:id="71" w:name="_Toc6338"/>
      <w:r>
        <w:rPr>
          <w:rFonts w:hint="eastAsia" w:ascii="黑体" w:hAnsi="黑体" w:eastAsia="黑体" w:cs="黑体"/>
          <w:b w:val="0"/>
          <w:bCs w:val="0"/>
          <w:color w:val="000000" w:themeColor="text1"/>
          <w:szCs w:val="21"/>
          <w:lang w:val="en-US" w:eastAsia="zh-CN"/>
          <w14:textFill>
            <w14:solidFill>
              <w14:schemeClr w14:val="tx1"/>
            </w14:solidFill>
          </w14:textFill>
        </w:rPr>
        <w:t>（规范性）</w:t>
      </w:r>
      <w:bookmarkEnd w:id="71"/>
    </w:p>
    <w:p>
      <w:pPr>
        <w:keepNext w:val="0"/>
        <w:keepLines w:val="0"/>
        <w:pageBreakBefore w:val="0"/>
        <w:widowControl w:val="0"/>
        <w:kinsoku/>
        <w:wordWrap/>
        <w:overflowPunct/>
        <w:topLinePunct w:val="0"/>
        <w:autoSpaceDE/>
        <w:autoSpaceDN/>
        <w:bidi w:val="0"/>
        <w:adjustRightInd w:val="0"/>
        <w:snapToGrid w:val="0"/>
        <w:spacing w:after="283" w:line="360" w:lineRule="auto"/>
        <w:jc w:val="center"/>
        <w:textAlignment w:val="auto"/>
        <w:outlineLvl w:val="0"/>
        <w:rPr>
          <w:rFonts w:hint="eastAsia" w:ascii="黑体" w:hAnsi="黑体" w:eastAsia="黑体" w:cs="黑体"/>
          <w:b w:val="0"/>
          <w:bCs w:val="0"/>
          <w:color w:val="000000" w:themeColor="text1"/>
          <w:szCs w:val="21"/>
          <w14:textFill>
            <w14:solidFill>
              <w14:schemeClr w14:val="tx1"/>
            </w14:solidFill>
          </w14:textFill>
        </w:rPr>
      </w:pPr>
      <w:bookmarkStart w:id="72" w:name="_Toc11026"/>
      <w:r>
        <w:rPr>
          <w:rFonts w:hint="eastAsia" w:ascii="黑体" w:hAnsi="黑体" w:eastAsia="黑体" w:cs="黑体"/>
          <w:b w:val="0"/>
          <w:bCs w:val="0"/>
          <w:color w:val="000000" w:themeColor="text1"/>
          <w:szCs w:val="21"/>
          <w14:textFill>
            <w14:solidFill>
              <w14:schemeClr w14:val="tx1"/>
            </w14:solidFill>
          </w14:textFill>
        </w:rPr>
        <w:t>信息系统安全运维人员考试大纲</w:t>
      </w:r>
      <w:bookmarkEnd w:id="72"/>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G.1</w:t>
      </w:r>
      <w:r>
        <w:rPr>
          <w:rFonts w:hint="eastAsia" w:ascii="黑体" w:hAnsi="黑体" w:eastAsia="黑体" w:cs="黑体"/>
          <w:b w:val="0"/>
          <w:bCs w:val="0"/>
          <w:color w:val="000000" w:themeColor="text1"/>
          <w14:textFill>
            <w14:solidFill>
              <w14:schemeClr w14:val="tx1"/>
            </w14:solidFill>
          </w14:textFill>
        </w:rPr>
        <w:t>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为使考生达到本认证规范中规定网络空间安全专业人员信息系统安全运维方向三、四级能力要求，指导考生有效准备考试，特制定本考试大纲(以下简称大纲)</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本大纲适用于所有申请网络空间安全专业人员认证技术类信息系统安全运维方向三、四级的人员</w:t>
      </w:r>
      <w:r>
        <w:rPr>
          <w:rFonts w:hint="eastAsia" w:ascii="宋体" w:hAnsi="宋体" w:eastAsia="宋体" w:cs="宋体"/>
          <w:color w:val="000000" w:themeColor="text1"/>
          <w:szCs w:val="21"/>
          <w:lang w:eastAsia="zh-CN"/>
          <w14:textFill>
            <w14:solidFill>
              <w14:schemeClr w14:val="tx1"/>
            </w14:solidFill>
          </w14:textFill>
        </w:rPr>
        <w:t>。</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 xml:space="preserve">G.2 </w:t>
      </w:r>
      <w:r>
        <w:rPr>
          <w:rFonts w:hint="eastAsia" w:ascii="黑体" w:hAnsi="黑体" w:eastAsia="黑体" w:cs="黑体"/>
          <w:b w:val="0"/>
          <w:bCs w:val="0"/>
          <w:color w:val="000000" w:themeColor="text1"/>
          <w14:textFill>
            <w14:solidFill>
              <w14:schemeClr w14:val="tx1"/>
            </w14:solidFill>
          </w14:textFill>
        </w:rPr>
        <w:t>考试内容</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G.2 .1</w:t>
      </w:r>
      <w:r>
        <w:rPr>
          <w:rFonts w:hint="eastAsia" w:ascii="黑体" w:hAnsi="黑体" w:eastAsia="黑体" w:cs="黑体"/>
          <w:color w:val="000000" w:themeColor="text1"/>
          <w14:textFill>
            <w14:solidFill>
              <w14:schemeClr w14:val="tx1"/>
            </w14:solidFill>
          </w14:textFill>
        </w:rPr>
        <w:t>课程要求和考试比例</w:t>
      </w:r>
    </w:p>
    <w:p>
      <w:pPr>
        <w:pStyle w:val="29"/>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 xml:space="preserve">表G.1 </w:t>
      </w:r>
      <w:r>
        <w:rPr>
          <w:rFonts w:hint="eastAsia" w:asciiTheme="minorEastAsia" w:hAnsiTheme="minorEastAsia" w:eastAsiaTheme="minorEastAsia"/>
          <w:color w:val="000000" w:themeColor="text1"/>
          <w14:textFill>
            <w14:solidFill>
              <w14:schemeClr w14:val="tx1"/>
            </w14:solidFill>
          </w14:textFill>
        </w:rPr>
        <w:t>课程要求和考试比例</w:t>
      </w:r>
    </w:p>
    <w:tbl>
      <w:tblPr>
        <w:tblStyle w:val="21"/>
        <w:tblW w:w="0" w:type="auto"/>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1383"/>
        <w:gridCol w:w="1962"/>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课程名称</w:t>
            </w:r>
          </w:p>
        </w:tc>
        <w:tc>
          <w:tcPr>
            <w:tcW w:w="1383" w:type="dxa"/>
            <w:vAlign w:val="center"/>
          </w:tcPr>
          <w:p>
            <w:pPr>
              <w:pStyle w:val="29"/>
              <w:ind w:firstLine="0" w:firstLineChars="0"/>
              <w:jc w:val="both"/>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课程类型</w:t>
            </w:r>
          </w:p>
        </w:tc>
        <w:tc>
          <w:tcPr>
            <w:tcW w:w="1962" w:type="dxa"/>
            <w:vAlign w:val="center"/>
          </w:tcPr>
          <w:p>
            <w:pPr>
              <w:pStyle w:val="29"/>
              <w:ind w:firstLine="0" w:firstLineChars="0"/>
              <w:jc w:val="both"/>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选择范围</w:t>
            </w:r>
          </w:p>
        </w:tc>
        <w:tc>
          <w:tcPr>
            <w:tcW w:w="2520" w:type="dxa"/>
            <w:vAlign w:val="center"/>
          </w:tcPr>
          <w:p>
            <w:pPr>
              <w:pStyle w:val="29"/>
              <w:ind w:firstLine="0" w:firstLineChars="0"/>
              <w:jc w:val="both"/>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信息安全技术</w:t>
            </w:r>
          </w:p>
        </w:tc>
        <w:tc>
          <w:tcPr>
            <w:tcW w:w="1383"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kern w:val="0"/>
                <w:sz w:val="18"/>
                <w:szCs w:val="18"/>
                <w:lang w:eastAsia="zh-CN"/>
              </w:rPr>
              <w:t>专业</w:t>
            </w:r>
            <w:r>
              <w:rPr>
                <w:rFonts w:hint="eastAsia" w:ascii="宋体" w:hAnsi="宋体" w:eastAsia="宋体" w:cs="宋体"/>
                <w:color w:val="000000" w:themeColor="text1"/>
                <w:kern w:val="0"/>
                <w:sz w:val="18"/>
                <w:szCs w:val="18"/>
                <w14:textFill>
                  <w14:solidFill>
                    <w14:schemeClr w14:val="tx1"/>
                  </w14:solidFill>
                </w14:textFill>
              </w:rPr>
              <w:t>课程</w:t>
            </w:r>
          </w:p>
        </w:tc>
        <w:tc>
          <w:tcPr>
            <w:tcW w:w="1962"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全部</w:t>
            </w:r>
          </w:p>
        </w:tc>
        <w:tc>
          <w:tcPr>
            <w:tcW w:w="2520"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信息系统安全运维</w:t>
            </w:r>
          </w:p>
        </w:tc>
        <w:tc>
          <w:tcPr>
            <w:tcW w:w="1383"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专业</w:t>
            </w:r>
            <w:r>
              <w:rPr>
                <w:rFonts w:hint="eastAsia" w:ascii="宋体" w:hAnsi="宋体" w:eastAsia="宋体" w:cs="宋体"/>
                <w:color w:val="000000" w:themeColor="text1"/>
                <w:kern w:val="0"/>
                <w:sz w:val="18"/>
                <w:szCs w:val="18"/>
                <w14:textFill>
                  <w14:solidFill>
                    <w14:schemeClr w14:val="tx1"/>
                  </w14:solidFill>
                </w14:textFill>
              </w:rPr>
              <w:t>课程</w:t>
            </w:r>
          </w:p>
        </w:tc>
        <w:tc>
          <w:tcPr>
            <w:tcW w:w="1962"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全部</w:t>
            </w:r>
          </w:p>
        </w:tc>
        <w:tc>
          <w:tcPr>
            <w:tcW w:w="2520"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网络安全等保2.0技术产品</w:t>
            </w:r>
          </w:p>
        </w:tc>
        <w:tc>
          <w:tcPr>
            <w:tcW w:w="1383"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基础课程</w:t>
            </w:r>
          </w:p>
        </w:tc>
        <w:tc>
          <w:tcPr>
            <w:tcW w:w="1962"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全部</w:t>
            </w:r>
          </w:p>
        </w:tc>
        <w:tc>
          <w:tcPr>
            <w:tcW w:w="2520"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渗透测试与攻防实战</w:t>
            </w:r>
          </w:p>
        </w:tc>
        <w:tc>
          <w:tcPr>
            <w:tcW w:w="1383"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专业</w:t>
            </w:r>
            <w:r>
              <w:rPr>
                <w:rFonts w:hint="eastAsia" w:ascii="宋体" w:hAnsi="宋体" w:eastAsia="宋体" w:cs="宋体"/>
                <w:color w:val="000000" w:themeColor="text1"/>
                <w:kern w:val="0"/>
                <w:sz w:val="18"/>
                <w:szCs w:val="18"/>
                <w14:textFill>
                  <w14:solidFill>
                    <w14:schemeClr w14:val="tx1"/>
                  </w14:solidFill>
                </w14:textFill>
              </w:rPr>
              <w:t>课程</w:t>
            </w:r>
          </w:p>
        </w:tc>
        <w:tc>
          <w:tcPr>
            <w:tcW w:w="1962"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全部</w:t>
            </w:r>
          </w:p>
        </w:tc>
        <w:tc>
          <w:tcPr>
            <w:tcW w:w="2520"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157"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信息安全法律法规</w:t>
            </w:r>
          </w:p>
        </w:tc>
        <w:tc>
          <w:tcPr>
            <w:tcW w:w="1383"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基础课程</w:t>
            </w:r>
          </w:p>
        </w:tc>
        <w:tc>
          <w:tcPr>
            <w:tcW w:w="1962"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全部</w:t>
            </w:r>
          </w:p>
        </w:tc>
        <w:tc>
          <w:tcPr>
            <w:tcW w:w="2520"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before="160" w:beforeLines="50"/>
        <w:ind w:leftChars="0"/>
        <w:textAlignment w:val="auto"/>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 xml:space="preserve">G.3 </w:t>
      </w:r>
      <w:r>
        <w:rPr>
          <w:rFonts w:hint="eastAsia" w:asciiTheme="minorEastAsia" w:hAnsiTheme="minorEastAsia" w:eastAsiaTheme="minorEastAsia"/>
          <w:color w:val="000000" w:themeColor="text1"/>
          <w14:textFill>
            <w14:solidFill>
              <w14:schemeClr w14:val="tx1"/>
            </w14:solidFill>
          </w14:textFill>
        </w:rPr>
        <w:t>各课程知识点要求</w:t>
      </w:r>
    </w:p>
    <w:p>
      <w:pPr>
        <w:keepNext w:val="0"/>
        <w:keepLines w:val="0"/>
        <w:pageBreakBefore w:val="0"/>
        <w:widowControl w:val="0"/>
        <w:kinsoku/>
        <w:wordWrap/>
        <w:overflowPunct/>
        <w:topLinePunct w:val="0"/>
        <w:autoSpaceDE/>
        <w:autoSpaceDN/>
        <w:bidi w:val="0"/>
        <w:adjustRightInd w:val="0"/>
        <w:snapToGrid w:val="0"/>
        <w:spacing w:after="160" w:afterLines="50"/>
        <w:ind w:left="0" w:leftChars="0" w:firstLine="0" w:firstLineChars="0"/>
        <w:jc w:val="left"/>
        <w:textAlignment w:val="auto"/>
        <w:rPr>
          <w:rFonts w:hint="eastAsia" w:ascii="黑体" w:hAnsi="黑体" w:eastAsia="黑体" w:cs="黑体"/>
          <w:color w:val="000000" w:themeColor="text1"/>
          <w:shd w:val="clear" w:color="auto" w:fill="F5F6EE"/>
          <w:lang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G.3.1</w:t>
      </w:r>
      <w:r>
        <w:rPr>
          <w:rFonts w:hint="eastAsia" w:ascii="黑体" w:hAnsi="黑体" w:eastAsia="黑体" w:cs="黑体"/>
          <w:color w:val="000000" w:themeColor="text1"/>
          <w14:textFill>
            <w14:solidFill>
              <w14:schemeClr w14:val="tx1"/>
            </w14:solidFill>
          </w14:textFill>
        </w:rPr>
        <w:t xml:space="preserve"> 信息安全技术</w:t>
      </w:r>
      <w:r>
        <w:rPr>
          <w:rFonts w:hint="eastAsia" w:ascii="黑体" w:hAnsi="黑体" w:eastAsia="黑体" w:cs="黑体"/>
          <w:color w:val="000000" w:themeColor="text1"/>
          <w:lang w:eastAsia="zh-CN"/>
          <w14:textFill>
            <w14:solidFill>
              <w14:schemeClr w14:val="tx1"/>
            </w14:solidFill>
          </w14:textFill>
        </w:rPr>
        <w:t>课程内容与要求</w:t>
      </w:r>
    </w:p>
    <w:p>
      <w:pPr>
        <w:keepNext w:val="0"/>
        <w:keepLines w:val="0"/>
        <w:pageBreakBefore w:val="0"/>
        <w:widowControl w:val="0"/>
        <w:kinsoku/>
        <w:wordWrap/>
        <w:overflowPunct/>
        <w:topLinePunct w:val="0"/>
        <w:autoSpaceDE/>
        <w:autoSpaceDN/>
        <w:bidi w:val="0"/>
        <w:adjustRightInd w:val="0"/>
        <w:snapToGrid w:val="0"/>
        <w:spacing w:after="160" w:afterLines="50"/>
        <w:ind w:firstLine="315" w:firstLineChars="150"/>
        <w:jc w:val="center"/>
        <w:textAlignment w:val="auto"/>
        <w:rPr>
          <w:rFonts w:hint="eastAsia" w:ascii="黑体" w:hAnsi="黑体" w:eastAsia="黑体" w:cs="黑体"/>
          <w:color w:val="000000" w:themeColor="text1"/>
          <w:shd w:val="clear" w:color="auto" w:fill="F5F6EE"/>
          <w:lang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表G.2</w:t>
      </w:r>
      <w:r>
        <w:rPr>
          <w:rFonts w:hint="eastAsia" w:ascii="黑体" w:hAnsi="黑体" w:eastAsia="黑体" w:cs="黑体"/>
          <w:color w:val="000000" w:themeColor="text1"/>
          <w14:textFill>
            <w14:solidFill>
              <w14:schemeClr w14:val="tx1"/>
            </w14:solidFill>
          </w14:textFill>
        </w:rPr>
        <w:t xml:space="preserve"> 信息安全技术</w:t>
      </w:r>
      <w:r>
        <w:rPr>
          <w:rFonts w:hint="eastAsia" w:ascii="黑体" w:hAnsi="黑体" w:eastAsia="黑体" w:cs="黑体"/>
          <w:color w:val="000000" w:themeColor="text1"/>
          <w:lang w:eastAsia="zh-CN"/>
          <w14:textFill>
            <w14:solidFill>
              <w14:schemeClr w14:val="tx1"/>
            </w14:solidFill>
          </w14:textFill>
        </w:rPr>
        <w:t>课程内容与要求</w:t>
      </w:r>
    </w:p>
    <w:tbl>
      <w:tblPr>
        <w:tblStyle w:val="21"/>
        <w:tblW w:w="9052"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76"/>
        <w:gridCol w:w="408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 w:type="dxa"/>
          </w:tcPr>
          <w:p>
            <w:pPr>
              <w:pStyle w:val="29"/>
              <w:ind w:firstLine="0" w:firstLineChars="0"/>
              <w:jc w:val="center"/>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r>
              <w:rPr>
                <w:rFonts w:hint="eastAsia" w:cs="微软雅黑" w:asciiTheme="minorEastAsia" w:hAnsiTheme="minorEastAsia" w:eastAsiaTheme="minorEastAsia"/>
                <w:color w:val="000000" w:themeColor="text1"/>
                <w:kern w:val="2"/>
                <w:sz w:val="21"/>
                <w:shd w:val="clear" w:color="auto" w:fill="FFFFFF"/>
                <w14:textFill>
                  <w14:solidFill>
                    <w14:schemeClr w14:val="tx1"/>
                  </w14:solidFill>
                </w14:textFill>
              </w:rPr>
              <w:t>章节号</w:t>
            </w:r>
          </w:p>
        </w:tc>
        <w:tc>
          <w:tcPr>
            <w:tcW w:w="1876" w:type="dxa"/>
          </w:tcPr>
          <w:p>
            <w:pPr>
              <w:pStyle w:val="29"/>
              <w:ind w:firstLine="0" w:firstLineChars="0"/>
              <w:jc w:val="center"/>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r>
              <w:rPr>
                <w:rFonts w:hint="eastAsia" w:cs="微软雅黑" w:asciiTheme="minorEastAsia" w:hAnsiTheme="minorEastAsia" w:eastAsiaTheme="minorEastAsia"/>
                <w:color w:val="000000" w:themeColor="text1"/>
                <w:kern w:val="2"/>
                <w:sz w:val="21"/>
                <w:shd w:val="clear" w:color="auto" w:fill="FFFFFF"/>
                <w14:textFill>
                  <w14:solidFill>
                    <w14:schemeClr w14:val="tx1"/>
                  </w14:solidFill>
                </w14:textFill>
              </w:rPr>
              <w:t>章节名</w:t>
            </w:r>
          </w:p>
        </w:tc>
        <w:tc>
          <w:tcPr>
            <w:tcW w:w="4080" w:type="dxa"/>
          </w:tcPr>
          <w:p>
            <w:pPr>
              <w:pStyle w:val="29"/>
              <w:ind w:firstLine="0" w:firstLineChars="0"/>
              <w:jc w:val="center"/>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r>
              <w:rPr>
                <w:rFonts w:hint="eastAsia" w:cs="微软雅黑" w:asciiTheme="minorEastAsia" w:hAnsiTheme="minorEastAsia" w:eastAsiaTheme="minorEastAsia"/>
                <w:color w:val="000000" w:themeColor="text1"/>
                <w:kern w:val="2"/>
                <w:sz w:val="21"/>
                <w:shd w:val="clear" w:color="auto" w:fill="FFFFFF"/>
                <w14:textFill>
                  <w14:solidFill>
                    <w14:schemeClr w14:val="tx1"/>
                  </w14:solidFill>
                </w14:textFill>
              </w:rPr>
              <w:t>内容与要求</w:t>
            </w:r>
          </w:p>
        </w:tc>
        <w:tc>
          <w:tcPr>
            <w:tcW w:w="2205" w:type="dxa"/>
          </w:tcPr>
          <w:p>
            <w:pPr>
              <w:pStyle w:val="29"/>
              <w:ind w:firstLine="0" w:firstLineChars="0"/>
              <w:jc w:val="center"/>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r>
              <w:rPr>
                <w:rFonts w:hint="eastAsia" w:cs="微软雅黑" w:asciiTheme="minorEastAsia" w:hAnsiTheme="minorEastAsia" w:eastAsiaTheme="minorEastAsia"/>
                <w:color w:val="000000" w:themeColor="text1"/>
                <w:kern w:val="2"/>
                <w:sz w:val="21"/>
                <w:shd w:val="clear" w:color="auto" w:fill="FFFFFF"/>
                <w14:textFill>
                  <w14:solidFill>
                    <w14:schemeClr w14:val="tx1"/>
                  </w14:solidFill>
                </w14:textFill>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91"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1</w:t>
            </w:r>
          </w:p>
        </w:tc>
        <w:tc>
          <w:tcPr>
            <w:tcW w:w="1876"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信息安全概论</w:t>
            </w:r>
          </w:p>
        </w:tc>
        <w:tc>
          <w:tcPr>
            <w:tcW w:w="4080"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介绍了信息安全的基本概 念、原理和知识体系</w:t>
            </w:r>
          </w:p>
        </w:tc>
        <w:tc>
          <w:tcPr>
            <w:tcW w:w="2205" w:type="dxa"/>
            <w:vMerge w:val="restart"/>
            <w:vAlign w:val="center"/>
          </w:tcPr>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《物理安全》</w:t>
            </w:r>
          </w:p>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《密码学基础与安全应用》</w:t>
            </w:r>
          </w:p>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《网络安全技术》</w:t>
            </w:r>
          </w:p>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《信息安全原理与实践（第2版）》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91"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2</w:t>
            </w:r>
          </w:p>
        </w:tc>
        <w:tc>
          <w:tcPr>
            <w:tcW w:w="1876"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物理安全</w:t>
            </w:r>
          </w:p>
        </w:tc>
        <w:tc>
          <w:tcPr>
            <w:tcW w:w="4080"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包括物理安全概述、物理安全需要注意哪些方面以及相关的法律、法规等内容</w:t>
            </w:r>
          </w:p>
        </w:tc>
        <w:tc>
          <w:tcPr>
            <w:tcW w:w="2205" w:type="dxa"/>
            <w:vMerge w:val="continue"/>
          </w:tcPr>
          <w:p>
            <w:pPr>
              <w:pStyle w:val="29"/>
              <w:ind w:firstLine="0" w:firstLineChars="0"/>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1"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3</w:t>
            </w:r>
          </w:p>
        </w:tc>
        <w:tc>
          <w:tcPr>
            <w:tcW w:w="1876"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通讯和网络安全工程</w:t>
            </w:r>
          </w:p>
        </w:tc>
        <w:tc>
          <w:tcPr>
            <w:tcW w:w="4080"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包括网络结构安全分析技术及其它的安全服务和安全机制策略等。</w:t>
            </w:r>
          </w:p>
        </w:tc>
        <w:tc>
          <w:tcPr>
            <w:tcW w:w="2205" w:type="dxa"/>
            <w:vMerge w:val="continue"/>
          </w:tcPr>
          <w:p>
            <w:pPr>
              <w:pStyle w:val="29"/>
              <w:ind w:firstLine="0" w:firstLineChars="0"/>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91"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4</w:t>
            </w:r>
          </w:p>
        </w:tc>
        <w:tc>
          <w:tcPr>
            <w:tcW w:w="1876"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密码学及其应用</w:t>
            </w:r>
          </w:p>
        </w:tc>
        <w:tc>
          <w:tcPr>
            <w:tcW w:w="4080"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包括密码学基础知识、对称加密算法、非对称加密算法、散列算法及其应用、数字签名、PK</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技术、SSL、SSH、</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PSec、PGP加密文件系统等。</w:t>
            </w:r>
          </w:p>
        </w:tc>
        <w:tc>
          <w:tcPr>
            <w:tcW w:w="2205" w:type="dxa"/>
            <w:vMerge w:val="continue"/>
          </w:tcPr>
          <w:p>
            <w:pPr>
              <w:pStyle w:val="29"/>
              <w:ind w:firstLine="0" w:firstLineChars="0"/>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bl>
    <w:p>
      <w:pPr>
        <w:pStyle w:val="29"/>
        <w:keepNext w:val="0"/>
        <w:keepLines w:val="0"/>
        <w:pageBreakBefore w:val="0"/>
        <w:widowControl w:val="0"/>
        <w:kinsoku/>
        <w:wordWrap/>
        <w:overflowPunct/>
        <w:topLinePunct w:val="0"/>
        <w:autoSpaceDE/>
        <w:autoSpaceDN/>
        <w:bidi w:val="0"/>
        <w:adjustRightInd/>
        <w:snapToGrid/>
        <w:spacing w:before="318" w:beforeLines="100" w:after="160" w:afterLines="50"/>
        <w:ind w:left="378" w:leftChars="0" w:hanging="378" w:hangingChars="180"/>
        <w:textAlignment w:val="auto"/>
        <w:rPr>
          <w:rFonts w:hint="eastAsia" w:ascii="黑体" w:hAnsi="黑体" w:eastAsia="黑体" w:cs="黑体"/>
          <w:color w:val="000000" w:themeColor="text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autoSpaceDN/>
        <w:bidi w:val="0"/>
        <w:adjustRightInd/>
        <w:snapToGrid/>
        <w:spacing w:before="318" w:beforeLines="100" w:after="160" w:afterLines="50"/>
        <w:ind w:left="378" w:leftChars="0" w:hanging="378" w:hangingChars="180"/>
        <w:textAlignment w:val="auto"/>
        <w:rPr>
          <w:rFonts w:hint="eastAsia" w:ascii="黑体" w:hAnsi="黑体" w:eastAsia="黑体" w:cs="黑体"/>
        </w:rPr>
      </w:pPr>
      <w:r>
        <w:rPr>
          <w:rFonts w:hint="eastAsia" w:ascii="黑体" w:hAnsi="黑体" w:eastAsia="黑体" w:cs="黑体"/>
          <w:color w:val="000000" w:themeColor="text1"/>
          <w:lang w:val="en-US" w:eastAsia="zh-CN"/>
          <w14:textFill>
            <w14:solidFill>
              <w14:schemeClr w14:val="tx1"/>
            </w14:solidFill>
          </w14:textFill>
        </w:rPr>
        <w:t>G.3.2</w:t>
      </w:r>
      <w:r>
        <w:rPr>
          <w:rFonts w:hint="eastAsia" w:ascii="黑体" w:hAnsi="黑体" w:eastAsia="黑体" w:cs="黑体"/>
        </w:rPr>
        <w:t xml:space="preserve"> 信息系统安全运维</w:t>
      </w:r>
    </w:p>
    <w:p>
      <w:pPr>
        <w:pStyle w:val="29"/>
        <w:keepNext w:val="0"/>
        <w:keepLines w:val="0"/>
        <w:pageBreakBefore w:val="0"/>
        <w:widowControl w:val="0"/>
        <w:kinsoku/>
        <w:wordWrap/>
        <w:overflowPunct/>
        <w:topLinePunct w:val="0"/>
        <w:autoSpaceDE/>
        <w:autoSpaceDN/>
        <w:bidi w:val="0"/>
        <w:adjustRightInd/>
        <w:snapToGrid/>
        <w:spacing w:before="318" w:beforeLines="100" w:after="160" w:afterLines="50"/>
        <w:ind w:left="378" w:leftChars="0" w:hanging="378" w:hangingChars="180"/>
        <w:jc w:val="center"/>
        <w:textAlignment w:val="auto"/>
        <w:rPr>
          <w:rFonts w:hint="eastAsia" w:ascii="黑体" w:hAnsi="黑体" w:eastAsia="黑体" w:cs="黑体"/>
          <w:lang w:eastAsia="zh-CN"/>
        </w:rPr>
      </w:pPr>
      <w:r>
        <w:rPr>
          <w:rFonts w:hint="eastAsia" w:ascii="黑体" w:hAnsi="黑体" w:eastAsia="黑体" w:cs="黑体"/>
          <w:color w:val="000000" w:themeColor="text1"/>
          <w:lang w:val="en-US" w:eastAsia="zh-CN"/>
          <w14:textFill>
            <w14:solidFill>
              <w14:schemeClr w14:val="tx1"/>
            </w14:solidFill>
          </w14:textFill>
        </w:rPr>
        <w:t xml:space="preserve">表G.3 </w:t>
      </w:r>
      <w:r>
        <w:rPr>
          <w:rFonts w:hint="eastAsia" w:ascii="黑体" w:hAnsi="黑体" w:eastAsia="黑体" w:cs="黑体"/>
        </w:rPr>
        <w:t>信息系统安全运维</w:t>
      </w:r>
      <w:r>
        <w:rPr>
          <w:rFonts w:hint="eastAsia" w:ascii="黑体" w:hAnsi="黑体" w:eastAsia="黑体" w:cs="黑体"/>
          <w:lang w:eastAsia="zh-CN"/>
        </w:rPr>
        <w:t>课程内容与要求</w:t>
      </w:r>
    </w:p>
    <w:tbl>
      <w:tblPr>
        <w:tblStyle w:val="21"/>
        <w:tblW w:w="909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669"/>
        <w:gridCol w:w="434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章节号</w:t>
            </w:r>
          </w:p>
        </w:tc>
        <w:tc>
          <w:tcPr>
            <w:tcW w:w="1669"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章节名</w:t>
            </w:r>
          </w:p>
        </w:tc>
        <w:tc>
          <w:tcPr>
            <w:tcW w:w="4346"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内容与要求</w:t>
            </w:r>
          </w:p>
        </w:tc>
        <w:tc>
          <w:tcPr>
            <w:tcW w:w="2190"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Align w:val="center"/>
          </w:tcPr>
          <w:p>
            <w:pPr>
              <w:pStyle w:val="29"/>
              <w:ind w:firstLine="0" w:firstLineChars="0"/>
              <w:jc w:val="center"/>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1</w:t>
            </w:r>
          </w:p>
        </w:tc>
        <w:tc>
          <w:tcPr>
            <w:tcW w:w="1669"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操作系统安全原理与实践</w:t>
            </w:r>
          </w:p>
        </w:tc>
        <w:tc>
          <w:tcPr>
            <w:tcW w:w="4346"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cs="宋体"/>
                <w:color w:val="000000" w:themeColor="text1"/>
                <w:kern w:val="2"/>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2"/>
                <w:sz w:val="18"/>
                <w:szCs w:val="18"/>
                <w:shd w:val="clear" w:color="auto" w:fill="FFFFFF"/>
                <w14:textFill>
                  <w14:solidFill>
                    <w14:schemeClr w14:val="tx1"/>
                  </w14:solidFill>
                </w14:textFill>
              </w:rPr>
              <w:t>L</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nux系统操作、文件管理、权限管理、常见漏洞、安全加固等。</w:t>
            </w:r>
          </w:p>
        </w:tc>
        <w:tc>
          <w:tcPr>
            <w:tcW w:w="2190" w:type="dxa"/>
            <w:vMerge w:val="restart"/>
            <w:vAlign w:val="center"/>
          </w:tcPr>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jc w:val="left"/>
              <w:textAlignment w:val="auto"/>
              <w:outlineLvl w:val="0"/>
              <w:rPr>
                <w:rFonts w:hint="eastAsia" w:ascii="宋体" w:hAnsi="宋体" w:eastAsia="宋体" w:cs="宋体"/>
                <w:color w:val="000000" w:themeColor="text1"/>
                <w:kern w:val="2"/>
                <w:sz w:val="18"/>
                <w:szCs w:val="18"/>
                <w:shd w:val="clear" w:color="auto" w:fill="FFFFFF"/>
                <w14:textFill>
                  <w14:solidFill>
                    <w14:schemeClr w14:val="tx1"/>
                  </w14:solidFill>
                </w14:textFill>
              </w:rPr>
            </w:pPr>
            <w:bookmarkStart w:id="73" w:name="_Toc26086"/>
            <w:bookmarkStart w:id="74" w:name="_Toc30914"/>
            <w:bookmarkStart w:id="75" w:name="_Toc19589"/>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t>《操作系统安全设计》、《软件安全分析与应用》、《</w:t>
            </w:r>
            <w:bookmarkStart w:id="76" w:name="itemlist-title"/>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begin"/>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instrText xml:space="preserve"> HYPERLINK "http://product.dangdang.com/1901054800.html" \o " 数据库安全技术" \t "http://search.dangdang.com/_blank" </w:instrText>
            </w:r>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separate"/>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t>数据库安全技术</w:t>
            </w:r>
            <w:bookmarkEnd w:id="76"/>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end"/>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t>》、《</w:t>
            </w:r>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begin"/>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instrText xml:space="preserve"> HYPERLINK "http://product.dangdang.com/25315023.html" \o " Web安全攻防：渗透测试实战指南 " \t "http://search.dangdang.com/_blank" </w:instrText>
            </w:r>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separate"/>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t>Web安全攻防：渗透测试实战指南</w:t>
            </w:r>
            <w:r>
              <w:rPr>
                <w:rFonts w:hint="eastAsia" w:ascii="宋体" w:hAnsi="宋体" w:eastAsia="宋体" w:cs="宋体"/>
                <w:color w:val="000000" w:themeColor="text1"/>
                <w:kern w:val="2"/>
                <w:sz w:val="18"/>
                <w:szCs w:val="18"/>
                <w:shd w:val="clear" w:color="auto" w:fill="FFFFFF"/>
                <w14:textFill>
                  <w14:solidFill>
                    <w14:schemeClr w14:val="tx1"/>
                  </w14:solidFill>
                </w14:textFill>
              </w:rPr>
              <w:fldChar w:fldCharType="end"/>
            </w:r>
            <w:r>
              <w:rPr>
                <w:rFonts w:hint="eastAsia" w:ascii="宋体" w:hAnsi="宋体" w:eastAsia="宋体" w:cs="宋体"/>
                <w:bCs w:val="0"/>
                <w:color w:val="000000" w:themeColor="text1"/>
                <w:kern w:val="2"/>
                <w:sz w:val="18"/>
                <w:szCs w:val="18"/>
                <w:shd w:val="clear" w:color="auto" w:fill="FFFFFF"/>
                <w14:textFill>
                  <w14:solidFill>
                    <w14:schemeClr w14:val="tx1"/>
                  </w14:solidFill>
                </w14:textFill>
              </w:rPr>
              <w:t>》</w:t>
            </w:r>
            <w:bookmarkEnd w:id="73"/>
            <w:bookmarkEnd w:id="74"/>
            <w:bookmarkEnd w:id="75"/>
          </w:p>
          <w:p>
            <w:pPr>
              <w:pStyle w:val="29"/>
              <w:ind w:firstLine="0" w:firstLineChars="0"/>
              <w:jc w:val="left"/>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5" w:type="dxa"/>
            <w:vAlign w:val="center"/>
          </w:tcPr>
          <w:p>
            <w:pPr>
              <w:pStyle w:val="29"/>
              <w:ind w:firstLine="0" w:firstLineChars="0"/>
              <w:jc w:val="center"/>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2</w:t>
            </w:r>
          </w:p>
        </w:tc>
        <w:tc>
          <w:tcPr>
            <w:tcW w:w="1669"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常用数据库安全原理与实践</w:t>
            </w:r>
          </w:p>
        </w:tc>
        <w:tc>
          <w:tcPr>
            <w:tcW w:w="4346"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cs="宋体"/>
                <w:color w:val="000000" w:themeColor="text1"/>
                <w:kern w:val="2"/>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2"/>
                <w:sz w:val="18"/>
                <w:szCs w:val="18"/>
                <w:shd w:val="clear" w:color="auto" w:fill="FFFFFF"/>
                <w14:textFill>
                  <w14:solidFill>
                    <w14:schemeClr w14:val="tx1"/>
                  </w14:solidFill>
                </w14:textFill>
              </w:rPr>
              <w:t>包括数据库安全性控制概述，用户管理和角色管理，SQL Server的安全机制</w:t>
            </w:r>
          </w:p>
        </w:tc>
        <w:tc>
          <w:tcPr>
            <w:tcW w:w="2190" w:type="dxa"/>
            <w:vMerge w:val="continue"/>
            <w:vAlign w:val="center"/>
          </w:tcPr>
          <w:p>
            <w:pPr>
              <w:pStyle w:val="29"/>
              <w:ind w:firstLine="0" w:firstLineChars="0"/>
              <w:jc w:val="both"/>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85" w:type="dxa"/>
            <w:vAlign w:val="center"/>
          </w:tcPr>
          <w:p>
            <w:pPr>
              <w:pStyle w:val="29"/>
              <w:ind w:firstLine="0" w:firstLineChars="0"/>
              <w:jc w:val="center"/>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3</w:t>
            </w:r>
          </w:p>
        </w:tc>
        <w:tc>
          <w:tcPr>
            <w:tcW w:w="1669"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应用开发安全</w:t>
            </w:r>
          </w:p>
        </w:tc>
        <w:tc>
          <w:tcPr>
            <w:tcW w:w="4346"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了解二进制程序分析、恶意代码分析、软件漏洞挖掘分析、网络协议逆向分析、应用软件安全分析等。</w:t>
            </w:r>
          </w:p>
        </w:tc>
        <w:tc>
          <w:tcPr>
            <w:tcW w:w="2190" w:type="dxa"/>
            <w:vMerge w:val="continue"/>
            <w:vAlign w:val="center"/>
          </w:tcPr>
          <w:p>
            <w:pPr>
              <w:pStyle w:val="29"/>
              <w:ind w:firstLine="0" w:firstLineChars="0"/>
              <w:jc w:val="both"/>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85" w:type="dxa"/>
            <w:vAlign w:val="center"/>
          </w:tcPr>
          <w:p>
            <w:pPr>
              <w:pStyle w:val="29"/>
              <w:ind w:firstLine="0" w:firstLineChars="0"/>
              <w:jc w:val="center"/>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4</w:t>
            </w:r>
          </w:p>
        </w:tc>
        <w:tc>
          <w:tcPr>
            <w:tcW w:w="1669"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Web安全渗透实战</w:t>
            </w:r>
          </w:p>
        </w:tc>
        <w:tc>
          <w:tcPr>
            <w:tcW w:w="4346" w:type="dxa"/>
            <w:vAlign w:val="center"/>
          </w:tcPr>
          <w:p>
            <w:pPr>
              <w:pStyle w:val="29"/>
              <w:ind w:firstLine="0" w:firstLineChars="0"/>
              <w:jc w:val="both"/>
              <w:rPr>
                <w:rFonts w:hint="eastAsia" w:ascii="宋体" w:hAnsi="宋体" w:eastAsia="宋体" w:cs="宋体"/>
                <w:color w:val="000000" w:themeColor="text1"/>
                <w:kern w:val="2"/>
                <w:sz w:val="18"/>
                <w:szCs w:val="18"/>
                <w:shd w:val="clear" w:color="auto" w:fill="FFFFFF"/>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Web服务中常见安全漏洞，包括SQL</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/XSS/CSRF/XXE/反序列化/上传/包含/业务逻辑等漏洞。</w:t>
            </w:r>
          </w:p>
        </w:tc>
        <w:tc>
          <w:tcPr>
            <w:tcW w:w="2190" w:type="dxa"/>
            <w:vMerge w:val="continue"/>
            <w:vAlign w:val="center"/>
          </w:tcPr>
          <w:p>
            <w:pPr>
              <w:pStyle w:val="29"/>
              <w:ind w:firstLine="0" w:firstLineChars="0"/>
              <w:jc w:val="both"/>
              <w:rPr>
                <w:rFonts w:cs="微软雅黑" w:asciiTheme="minorEastAsia" w:hAnsiTheme="minorEastAsia" w:eastAsiaTheme="minorEastAsia"/>
                <w:color w:val="000000" w:themeColor="text1"/>
                <w:kern w:val="2"/>
                <w:sz w:val="21"/>
                <w:shd w:val="clear" w:color="auto" w:fill="FFFFFF"/>
                <w14:textFill>
                  <w14:solidFill>
                    <w14:schemeClr w14:val="tx1"/>
                  </w14:solidFill>
                </w14:textFill>
              </w:rPr>
            </w:pPr>
          </w:p>
        </w:tc>
      </w:tr>
    </w:tbl>
    <w:p>
      <w:pPr>
        <w:pStyle w:val="29"/>
        <w:keepNext w:val="0"/>
        <w:keepLines w:val="0"/>
        <w:pageBreakBefore w:val="0"/>
        <w:widowControl w:val="0"/>
        <w:kinsoku/>
        <w:wordWrap/>
        <w:overflowPunct/>
        <w:topLinePunct w:val="0"/>
        <w:autoSpaceDE/>
        <w:autoSpaceDN/>
        <w:bidi w:val="0"/>
        <w:adjustRightInd/>
        <w:snapToGrid/>
        <w:spacing w:before="160" w:beforeLines="50"/>
        <w:ind w:left="0" w:leftChars="0" w:firstLine="199" w:firstLineChars="95"/>
        <w:jc w:val="left"/>
        <w:textAlignment w:val="auto"/>
        <w:rPr>
          <w:rFonts w:cs="Helvetica" w:asciiTheme="minorEastAsia" w:hAnsiTheme="minorEastAsia" w:eastAsiaTheme="minorEastAsia"/>
          <w:color w:val="000000" w:themeColor="text1"/>
          <w:shd w:val="clear" w:color="auto" w:fill="FFFFFF"/>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G.3.3</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 xml:space="preserve"> </w:t>
      </w:r>
      <w:r>
        <w:rPr>
          <w:rFonts w:cs="Helvetica" w:asciiTheme="minorEastAsia" w:hAnsiTheme="minorEastAsia" w:eastAsiaTheme="minorEastAsia"/>
          <w:color w:val="000000" w:themeColor="text1"/>
          <w:shd w:val="clear" w:color="auto" w:fill="FFFFFF"/>
          <w14:textFill>
            <w14:solidFill>
              <w14:schemeClr w14:val="tx1"/>
            </w14:solidFill>
          </w14:textFill>
        </w:rPr>
        <w:t>网络安全等保2.0技术产品</w:t>
      </w:r>
    </w:p>
    <w:p>
      <w:pPr>
        <w:pStyle w:val="29"/>
        <w:keepNext w:val="0"/>
        <w:keepLines w:val="0"/>
        <w:pageBreakBefore w:val="0"/>
        <w:widowControl w:val="0"/>
        <w:kinsoku/>
        <w:wordWrap/>
        <w:overflowPunct/>
        <w:topLinePunct w:val="0"/>
        <w:autoSpaceDE/>
        <w:autoSpaceDN/>
        <w:bidi w:val="0"/>
        <w:adjustRightInd/>
        <w:snapToGrid/>
        <w:spacing w:after="160" w:afterLines="50"/>
        <w:jc w:val="center"/>
        <w:textAlignment w:val="auto"/>
        <w:rPr>
          <w:rFonts w:hint="eastAsia" w:ascii="黑体" w:hAnsi="黑体" w:eastAsia="黑体" w:cs="黑体"/>
          <w:color w:val="000000" w:themeColor="text1"/>
          <w:shd w:val="clear" w:color="auto" w:fill="FFFFFF"/>
          <w:lang w:val="en-US" w:eastAsia="zh-CN"/>
          <w14:textFill>
            <w14:solidFill>
              <w14:schemeClr w14:val="tx1"/>
            </w14:solidFill>
          </w14:textFill>
        </w:rPr>
      </w:pPr>
      <w:r>
        <w:rPr>
          <w:rFonts w:hint="eastAsia" w:ascii="黑体" w:hAnsi="黑体" w:eastAsia="黑体" w:cs="黑体"/>
          <w:color w:val="000000" w:themeColor="text1"/>
          <w:shd w:val="clear" w:color="auto" w:fill="FFFFFF"/>
          <w:lang w:eastAsia="zh-CN"/>
          <w14:textFill>
            <w14:solidFill>
              <w14:schemeClr w14:val="tx1"/>
            </w14:solidFill>
          </w14:textFill>
        </w:rPr>
        <w:t>表</w:t>
      </w:r>
      <w:r>
        <w:rPr>
          <w:rFonts w:hint="eastAsia" w:ascii="黑体" w:hAnsi="黑体" w:eastAsia="黑体" w:cs="黑体"/>
          <w:color w:val="000000" w:themeColor="text1"/>
          <w:shd w:val="clear" w:color="auto" w:fill="FFFFFF"/>
          <w:lang w:val="en-US" w:eastAsia="zh-CN"/>
          <w14:textFill>
            <w14:solidFill>
              <w14:schemeClr w14:val="tx1"/>
            </w14:solidFill>
          </w14:textFill>
        </w:rPr>
        <w:t xml:space="preserve">G.4 </w:t>
      </w:r>
      <w:r>
        <w:rPr>
          <w:rFonts w:hint="eastAsia" w:ascii="黑体" w:hAnsi="黑体" w:eastAsia="黑体" w:cs="黑体"/>
          <w:color w:val="000000" w:themeColor="text1"/>
          <w:shd w:val="clear" w:color="auto" w:fill="FFFFFF"/>
          <w14:textFill>
            <w14:solidFill>
              <w14:schemeClr w14:val="tx1"/>
            </w14:solidFill>
          </w14:textFill>
        </w:rPr>
        <w:t>网络安全等保2.0技术产品</w:t>
      </w:r>
      <w:r>
        <w:rPr>
          <w:rFonts w:hint="eastAsia" w:ascii="黑体" w:hAnsi="黑体" w:eastAsia="黑体" w:cs="黑体"/>
          <w:color w:val="000000" w:themeColor="text1"/>
          <w:shd w:val="clear" w:color="auto" w:fill="FFFFFF"/>
          <w:lang w:eastAsia="zh-CN"/>
          <w14:textFill>
            <w14:solidFill>
              <w14:schemeClr w14:val="tx1"/>
            </w14:solidFill>
          </w14:textFill>
        </w:rPr>
        <w:t>课程内容与要求</w:t>
      </w:r>
    </w:p>
    <w:tbl>
      <w:tblPr>
        <w:tblStyle w:val="21"/>
        <w:tblW w:w="9145"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654"/>
        <w:gridCol w:w="434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38"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章节号</w:t>
            </w:r>
          </w:p>
        </w:tc>
        <w:tc>
          <w:tcPr>
            <w:tcW w:w="1654"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章节名</w:t>
            </w:r>
          </w:p>
        </w:tc>
        <w:tc>
          <w:tcPr>
            <w:tcW w:w="4348"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内容与要求</w:t>
            </w:r>
          </w:p>
        </w:tc>
        <w:tc>
          <w:tcPr>
            <w:tcW w:w="2205"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VPN原理与实践</w:t>
            </w:r>
          </w:p>
        </w:tc>
        <w:tc>
          <w:tcPr>
            <w:tcW w:w="4348"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lang w:eastAsia="zh-CN"/>
                <w14:textFill>
                  <w14:solidFill>
                    <w14:schemeClr w14:val="tx1"/>
                  </w14:solidFill>
                </w14:textFill>
              </w:rPr>
              <w:t>掌握H</w:t>
            </w:r>
            <w:r>
              <w:rPr>
                <w:rFonts w:hint="eastAsia" w:ascii="宋体" w:hAnsi="宋体" w:eastAsia="宋体" w:cs="宋体"/>
                <w:color w:val="000000" w:themeColor="text1"/>
                <w:kern w:val="0"/>
                <w:sz w:val="18"/>
                <w:szCs w:val="18"/>
                <w:shd w:val="clear" w:color="auto" w:fill="FFFFFF"/>
                <w14:textFill>
                  <w14:solidFill>
                    <w14:schemeClr w14:val="tx1"/>
                  </w14:solidFill>
                </w14:textFill>
              </w:rPr>
              <w:t xml:space="preserve">Psec VPN、GRE Over </w:t>
            </w:r>
            <w:r>
              <w:rPr>
                <w:rFonts w:hint="eastAsia" w:ascii="宋体" w:hAnsi="宋体" w:eastAsia="宋体" w:cs="宋体"/>
                <w:color w:val="000000" w:themeColor="text1"/>
                <w:kern w:val="0"/>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0"/>
                <w:sz w:val="18"/>
                <w:szCs w:val="18"/>
                <w:shd w:val="clear" w:color="auto" w:fill="FFFFFF"/>
                <w14:textFill>
                  <w14:solidFill>
                    <w14:schemeClr w14:val="tx1"/>
                  </w14:solidFill>
                </w14:textFill>
              </w:rPr>
              <w:t>Psec、DMVPN、SSL VPN等网络安全技术。</w:t>
            </w:r>
          </w:p>
        </w:tc>
        <w:tc>
          <w:tcPr>
            <w:tcW w:w="2205" w:type="dxa"/>
            <w:vMerge w:val="restart"/>
            <w:vAlign w:val="center"/>
          </w:tcPr>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《防火墙与VPN原理与实践》</w:t>
            </w:r>
          </w:p>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《入侵检与入侵防御》</w:t>
            </w:r>
          </w:p>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《漏洞扫描与防护》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防火墙原理与实践</w:t>
            </w:r>
          </w:p>
        </w:tc>
        <w:tc>
          <w:tcPr>
            <w:tcW w:w="434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begin"/>
            </w:r>
            <w:r>
              <w:rPr>
                <w:rFonts w:hint="eastAsia" w:ascii="宋体" w:hAnsi="宋体" w:eastAsia="宋体" w:cs="宋体"/>
                <w:color w:val="000000" w:themeColor="text1"/>
                <w:kern w:val="0"/>
                <w:sz w:val="18"/>
                <w:szCs w:val="18"/>
                <w:shd w:val="clear" w:color="auto" w:fill="FFFFFF"/>
                <w14:textFill>
                  <w14:solidFill>
                    <w14:schemeClr w14:val="tx1"/>
                  </w14:solidFill>
                </w14:textFill>
              </w:rPr>
              <w:instrText xml:space="preserve"> HYPERLINK "https://baike.baidu.com/item/%E9%98%B2%E7%81%AB%E5%A2%99" \t "https://baike.baidu.com/item/%E9%98%B2%E7%81%AB%E5%A2%99%E4%B8%8EVPN%E5%8E%9F%E7%90%86%E4%B8%8E%E5%AE%9E%E8%B7%B5/_blank" </w:instrTex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18"/>
                <w:szCs w:val="18"/>
                <w:shd w:val="clear" w:color="auto" w:fill="FFFFFF"/>
                <w14:textFill>
                  <w14:solidFill>
                    <w14:schemeClr w14:val="tx1"/>
                  </w14:solidFill>
                </w14:textFill>
              </w:rPr>
              <w:t>防火墙</w: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18"/>
                <w:szCs w:val="18"/>
                <w:shd w:val="clear" w:color="auto" w:fill="FFFFFF"/>
                <w14:textFill>
                  <w14:solidFill>
                    <w14:schemeClr w14:val="tx1"/>
                  </w14:solidFill>
                </w14:textFill>
              </w:rPr>
              <w:t>安装和配置实践，特定的</w: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begin"/>
            </w:r>
            <w:r>
              <w:rPr>
                <w:rFonts w:hint="eastAsia" w:ascii="宋体" w:hAnsi="宋体" w:eastAsia="宋体" w:cs="宋体"/>
                <w:color w:val="000000" w:themeColor="text1"/>
                <w:kern w:val="0"/>
                <w:sz w:val="18"/>
                <w:szCs w:val="18"/>
                <w:shd w:val="clear" w:color="auto" w:fill="FFFFFF"/>
                <w14:textFill>
                  <w14:solidFill>
                    <w14:schemeClr w14:val="tx1"/>
                  </w14:solidFill>
                </w14:textFill>
              </w:rPr>
              <w:instrText xml:space="preserve"> HYPERLINK "https://baike.baidu.com/item/%E9%98%B2%E7%81%AB%E5%A2%99%E6%8A%80%E6%9C%AF" \t "https://baike.baidu.com/item/%E9%98%B2%E7%81%AB%E5%A2%99%E4%B8%8EVPN%E5%8E%9F%E7%90%86%E4%B8%8E%E5%AE%9E%E8%B7%B5/_blank" </w:instrTex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separate"/>
            </w:r>
            <w:r>
              <w:rPr>
                <w:rFonts w:hint="eastAsia" w:ascii="宋体" w:hAnsi="宋体" w:eastAsia="宋体" w:cs="宋体"/>
                <w:color w:val="000000" w:themeColor="text1"/>
                <w:kern w:val="0"/>
                <w:sz w:val="18"/>
                <w:szCs w:val="18"/>
                <w:shd w:val="clear" w:color="auto" w:fill="FFFFFF"/>
                <w14:textFill>
                  <w14:solidFill>
                    <w14:schemeClr w14:val="tx1"/>
                  </w14:solidFill>
                </w14:textFill>
              </w:rPr>
              <w:t>防火墙技术</w:t>
            </w:r>
            <w:r>
              <w:rPr>
                <w:rFonts w:hint="eastAsia" w:ascii="宋体" w:hAnsi="宋体" w:eastAsia="宋体" w:cs="宋体"/>
                <w:color w:val="000000" w:themeColor="text1"/>
                <w:kern w:val="0"/>
                <w:sz w:val="18"/>
                <w:szCs w:val="18"/>
                <w:shd w:val="clear" w:color="auto" w:fill="FFFFFF"/>
                <w14:textFill>
                  <w14:solidFill>
                    <w14:schemeClr w14:val="tx1"/>
                  </w14:solidFill>
                </w14:textFill>
              </w:rPr>
              <w:fldChar w:fldCharType="end"/>
            </w:r>
            <w:r>
              <w:rPr>
                <w:rFonts w:hint="eastAsia" w:ascii="宋体" w:hAnsi="宋体" w:eastAsia="宋体" w:cs="宋体"/>
                <w:color w:val="000000" w:themeColor="text1"/>
                <w:kern w:val="0"/>
                <w:sz w:val="18"/>
                <w:szCs w:val="18"/>
                <w:shd w:val="clear" w:color="auto" w:fill="FFFFFF"/>
                <w14:textFill>
                  <w14:solidFill>
                    <w14:schemeClr w14:val="tx1"/>
                  </w14:solidFill>
                </w14:textFill>
              </w:rPr>
              <w:t>、工具和技巧</w:t>
            </w:r>
          </w:p>
        </w:tc>
        <w:tc>
          <w:tcPr>
            <w:tcW w:w="2205" w:type="dxa"/>
            <w:vMerge w:val="continue"/>
            <w:vAlign w:val="center"/>
          </w:tcPr>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入侵防御原理与实践</w:t>
            </w:r>
          </w:p>
        </w:tc>
        <w:tc>
          <w:tcPr>
            <w:tcW w:w="434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0"/>
                <w:sz w:val="18"/>
                <w:szCs w:val="18"/>
                <w:shd w:val="clear" w:color="auto" w:fill="FFFFFF"/>
                <w14:textFill>
                  <w14:solidFill>
                    <w14:schemeClr w14:val="tx1"/>
                  </w14:solidFill>
                </w14:textFill>
              </w:rPr>
              <w:t>入侵防御系统的功能、原理与部署、关键技术</w:t>
            </w:r>
          </w:p>
        </w:tc>
        <w:tc>
          <w:tcPr>
            <w:tcW w:w="2205" w:type="dxa"/>
            <w:vMerge w:val="continue"/>
            <w:vAlign w:val="center"/>
          </w:tcPr>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漏洞扫描原理与实践</w:t>
            </w:r>
          </w:p>
        </w:tc>
        <w:tc>
          <w:tcPr>
            <w:tcW w:w="434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0"/>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0"/>
                <w:sz w:val="18"/>
                <w:szCs w:val="18"/>
                <w:shd w:val="clear" w:color="auto" w:fill="FFFFFF"/>
                <w14:textFill>
                  <w14:solidFill>
                    <w14:schemeClr w14:val="tx1"/>
                  </w14:solidFill>
                </w14:textFill>
              </w:rPr>
              <w:t>漏洞扫描与防护相关理论与技术</w:t>
            </w:r>
          </w:p>
        </w:tc>
        <w:tc>
          <w:tcPr>
            <w:tcW w:w="2205" w:type="dxa"/>
            <w:vMerge w:val="continue"/>
            <w:vAlign w:val="center"/>
          </w:tcPr>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信息安全审计</w:t>
            </w:r>
          </w:p>
        </w:tc>
        <w:tc>
          <w:tcPr>
            <w:tcW w:w="434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0"/>
                <w:sz w:val="18"/>
                <w:szCs w:val="18"/>
                <w:shd w:val="clear" w:color="auto" w:fill="FFFFFF"/>
                <w14:textFill>
                  <w14:solidFill>
                    <w14:schemeClr w14:val="tx1"/>
                  </w14:solidFill>
                </w14:textFill>
              </w:rPr>
              <w:t>如何根据相关标准、法规进行合规性安全审计，以及如何对计算机信息系统中的所有网络资源（包括数据库、主机、操作系统、网络设备、安全设备等）进行安全审计，记录所有发生的事件，为系统管理员提供系统维护以及安全防范的依据。</w:t>
            </w:r>
          </w:p>
        </w:tc>
        <w:tc>
          <w:tcPr>
            <w:tcW w:w="2205" w:type="dxa"/>
            <w:vAlign w:val="center"/>
          </w:tcPr>
          <w:p>
            <w:pPr>
              <w:pStyle w:val="29"/>
              <w:ind w:firstLine="0" w:firstLineChars="0"/>
              <w:jc w:val="both"/>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《信息安全审计》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3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安全设备</w:t>
            </w:r>
          </w:p>
        </w:tc>
        <w:tc>
          <w:tcPr>
            <w:tcW w:w="4348"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了解H</w:t>
            </w:r>
            <w:r>
              <w:rPr>
                <w:rFonts w:hint="eastAsia" w:ascii="宋体" w:hAnsi="宋体" w:eastAsia="宋体" w:cs="宋体"/>
                <w:color w:val="000000" w:themeColor="text1"/>
                <w:kern w:val="0"/>
                <w:sz w:val="18"/>
                <w:szCs w:val="18"/>
                <w14:textFill>
                  <w14:solidFill>
                    <w14:schemeClr w14:val="tx1"/>
                  </w14:solidFill>
                </w14:textFill>
              </w:rPr>
              <w:t>PS、上网行为管理，WAF主流产品</w:t>
            </w:r>
          </w:p>
        </w:tc>
        <w:tc>
          <w:tcPr>
            <w:tcW w:w="2205" w:type="dxa"/>
            <w:vAlign w:val="center"/>
          </w:tcPr>
          <w:p>
            <w:pPr>
              <w:pStyle w:val="29"/>
              <w:ind w:firstLine="0" w:firstLineChars="0"/>
              <w:jc w:val="both"/>
              <w:rPr>
                <w:rFonts w:hint="eastAsia" w:ascii="宋体" w:hAnsi="宋体" w:eastAsia="宋体" w:cs="宋体"/>
                <w:color w:val="000000" w:themeColor="text1"/>
                <w:kern w:val="0"/>
                <w:sz w:val="18"/>
                <w:szCs w:val="18"/>
                <w14:textFill>
                  <w14:solidFill>
                    <w14:schemeClr w14:val="tx1"/>
                  </w14:solidFill>
                </w14:textFill>
              </w:rPr>
            </w:pPr>
          </w:p>
        </w:tc>
      </w:tr>
    </w:tbl>
    <w:p>
      <w:pPr>
        <w:pStyle w:val="29"/>
        <w:keepNext w:val="0"/>
        <w:keepLines w:val="0"/>
        <w:pageBreakBefore w:val="0"/>
        <w:widowControl w:val="0"/>
        <w:kinsoku/>
        <w:wordWrap/>
        <w:overflowPunct/>
        <w:topLinePunct w:val="0"/>
        <w:autoSpaceDE/>
        <w:autoSpaceDN/>
        <w:bidi w:val="0"/>
        <w:adjustRightInd/>
        <w:snapToGrid/>
        <w:spacing w:before="160" w:beforeLines="50"/>
        <w:ind w:left="159" w:leftChars="0" w:hanging="159" w:hangingChars="76"/>
        <w:textAlignment w:val="auto"/>
        <w:rPr>
          <w:rFonts w:hint="eastAsia" w:cs="Helvetica" w:asciiTheme="minorEastAsia" w:hAnsiTheme="minorEastAsia" w:eastAsiaTheme="minorEastAsia"/>
          <w:color w:val="000000" w:themeColor="text1"/>
          <w:shd w:val="clear" w:color="auto" w:fill="FFFFFF"/>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G.3.4</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 xml:space="preserve">  渗透测试与攻防实战</w:t>
      </w:r>
    </w:p>
    <w:p>
      <w:pPr>
        <w:pStyle w:val="29"/>
        <w:keepNext w:val="0"/>
        <w:keepLines w:val="0"/>
        <w:pageBreakBefore w:val="0"/>
        <w:widowControl w:val="0"/>
        <w:kinsoku/>
        <w:wordWrap/>
        <w:overflowPunct/>
        <w:topLinePunct w:val="0"/>
        <w:autoSpaceDE/>
        <w:autoSpaceDN/>
        <w:bidi w:val="0"/>
        <w:adjustRightInd/>
        <w:snapToGrid/>
        <w:spacing w:after="160" w:afterLines="50"/>
        <w:ind w:left="380" w:firstLine="0" w:firstLineChars="0"/>
        <w:jc w:val="center"/>
        <w:textAlignment w:val="auto"/>
        <w:rPr>
          <w:rFonts w:hint="eastAsia" w:ascii="黑体" w:hAnsi="黑体" w:eastAsia="黑体" w:cs="黑体"/>
          <w:color w:val="000000" w:themeColor="text1"/>
          <w:shd w:val="clear" w:color="auto" w:fill="FFFFFF"/>
          <w:lang w:val="en-US" w:eastAsia="zh-CN"/>
          <w14:textFill>
            <w14:solidFill>
              <w14:schemeClr w14:val="tx1"/>
            </w14:solidFill>
          </w14:textFill>
        </w:rPr>
      </w:pPr>
      <w:r>
        <w:rPr>
          <w:rFonts w:hint="eastAsia" w:ascii="黑体" w:hAnsi="黑体" w:eastAsia="黑体" w:cs="黑体"/>
          <w:color w:val="000000" w:themeColor="text1"/>
          <w:shd w:val="clear" w:color="auto" w:fill="FFFFFF"/>
          <w:lang w:eastAsia="zh-CN"/>
          <w14:textFill>
            <w14:solidFill>
              <w14:schemeClr w14:val="tx1"/>
            </w14:solidFill>
          </w14:textFill>
        </w:rPr>
        <w:t>表</w:t>
      </w:r>
      <w:r>
        <w:rPr>
          <w:rFonts w:hint="eastAsia" w:ascii="黑体" w:hAnsi="黑体" w:eastAsia="黑体" w:cs="黑体"/>
          <w:color w:val="000000" w:themeColor="text1"/>
          <w:shd w:val="clear" w:color="auto" w:fill="FFFFFF"/>
          <w:lang w:val="en-US" w:eastAsia="zh-CN"/>
          <w14:textFill>
            <w14:solidFill>
              <w14:schemeClr w14:val="tx1"/>
            </w14:solidFill>
          </w14:textFill>
        </w:rPr>
        <w:t xml:space="preserve">G.5 </w:t>
      </w:r>
      <w:r>
        <w:rPr>
          <w:rFonts w:hint="eastAsia" w:ascii="黑体" w:hAnsi="黑体" w:eastAsia="黑体" w:cs="黑体"/>
          <w:color w:val="000000" w:themeColor="text1"/>
          <w:shd w:val="clear" w:color="auto" w:fill="FFFFFF"/>
          <w14:textFill>
            <w14:solidFill>
              <w14:schemeClr w14:val="tx1"/>
            </w14:solidFill>
          </w14:textFill>
        </w:rPr>
        <w:t xml:space="preserve"> 渗透测试与攻防实战</w:t>
      </w:r>
      <w:r>
        <w:rPr>
          <w:rFonts w:hint="eastAsia" w:ascii="黑体" w:hAnsi="黑体" w:eastAsia="黑体" w:cs="黑体"/>
          <w:color w:val="000000" w:themeColor="text1"/>
          <w:shd w:val="clear" w:color="auto" w:fill="FFFFFF"/>
          <w:lang w:eastAsia="zh-CN"/>
          <w14:textFill>
            <w14:solidFill>
              <w14:schemeClr w14:val="tx1"/>
            </w14:solidFill>
          </w14:textFill>
        </w:rPr>
        <w:t>课程内容与要求</w:t>
      </w:r>
    </w:p>
    <w:tbl>
      <w:tblPr>
        <w:tblStyle w:val="21"/>
        <w:tblW w:w="9145"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654"/>
        <w:gridCol w:w="4333"/>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23"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章节号</w:t>
            </w:r>
          </w:p>
        </w:tc>
        <w:tc>
          <w:tcPr>
            <w:tcW w:w="1654"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章节名</w:t>
            </w:r>
          </w:p>
        </w:tc>
        <w:tc>
          <w:tcPr>
            <w:tcW w:w="4333"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内容与要求</w:t>
            </w:r>
          </w:p>
        </w:tc>
        <w:tc>
          <w:tcPr>
            <w:tcW w:w="2235" w:type="dxa"/>
            <w:vAlign w:val="center"/>
          </w:tcPr>
          <w:p>
            <w:pPr>
              <w:pStyle w:val="29"/>
              <w:ind w:firstLine="0" w:firstLineChars="0"/>
              <w:jc w:val="center"/>
              <w:rPr>
                <w:rFonts w:hint="eastAsia" w:ascii="黑体" w:hAnsi="黑体" w:eastAsia="黑体" w:cs="黑体"/>
                <w:color w:val="000000" w:themeColor="text1"/>
                <w:kern w:val="0"/>
                <w:sz w:val="21"/>
                <w14:textFill>
                  <w14:solidFill>
                    <w14:schemeClr w14:val="tx1"/>
                  </w14:solidFill>
                </w14:textFill>
              </w:rPr>
            </w:pPr>
            <w:r>
              <w:rPr>
                <w:rFonts w:hint="eastAsia" w:ascii="黑体" w:hAnsi="黑体" w:eastAsia="黑体" w:cs="黑体"/>
                <w:color w:val="000000" w:themeColor="text1"/>
                <w:kern w:val="0"/>
                <w:sz w:val="21"/>
                <w14:textFill>
                  <w14:solidFill>
                    <w14:schemeClr w14:val="tx1"/>
                  </w14:solidFill>
                </w14:textFill>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web安全渗透测试与安全防御</w:t>
            </w:r>
          </w:p>
        </w:tc>
        <w:tc>
          <w:tcPr>
            <w:tcW w:w="43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2"/>
                <w:sz w:val="18"/>
                <w:szCs w:val="18"/>
                <w:shd w:val="clear" w:color="auto" w:fill="FFFFFF"/>
                <w14:textFill>
                  <w14:solidFill>
                    <w14:schemeClr w14:val="tx1"/>
                  </w14:solidFill>
                </w14:textFill>
              </w:rPr>
              <w:t>了解渗透测试的基础知识，掌握渗透测试环境的部署，重点掌握Web应用、移动应用漏洞利用。</w:t>
            </w:r>
          </w:p>
        </w:tc>
        <w:tc>
          <w:tcPr>
            <w:tcW w:w="2235" w:type="dxa"/>
            <w:vMerge w:val="restart"/>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p>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《Web安全攻防：渗透测试实战指南 》</w:t>
            </w:r>
          </w:p>
          <w:p>
            <w:pPr>
              <w:pStyle w:val="29"/>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《Kal</w:t>
            </w:r>
            <w:r>
              <w:rPr>
                <w:rFonts w:hint="eastAsia" w:ascii="宋体" w:hAnsi="宋体" w:cs="宋体"/>
                <w:color w:val="000000" w:themeColor="text1"/>
                <w:kern w:val="0"/>
                <w:sz w:val="18"/>
                <w:szCs w:val="18"/>
                <w:lang w:eastAsia="zh-CN"/>
                <w14:textFill>
                  <w14:solidFill>
                    <w14:schemeClr w14:val="tx1"/>
                  </w14:solidFill>
                </w14:textFill>
              </w:rPr>
              <w:t>H</w:t>
            </w:r>
            <w:r>
              <w:rPr>
                <w:rFonts w:hint="eastAsia" w:ascii="宋体" w:hAnsi="宋体" w:eastAsia="宋体" w:cs="宋体"/>
                <w:color w:val="000000" w:themeColor="text1"/>
                <w:kern w:val="0"/>
                <w:sz w:val="18"/>
                <w:szCs w:val="18"/>
                <w14:textFill>
                  <w14:solidFill>
                    <w14:schemeClr w14:val="tx1"/>
                  </w14:solidFill>
                </w14:textFill>
              </w:rPr>
              <w:t>L</w:t>
            </w:r>
            <w:r>
              <w:rPr>
                <w:rFonts w:hint="eastAsia" w:ascii="宋体" w:hAnsi="宋体" w:cs="宋体"/>
                <w:color w:val="000000" w:themeColor="text1"/>
                <w:kern w:val="0"/>
                <w:sz w:val="18"/>
                <w:szCs w:val="18"/>
                <w:lang w:eastAsia="zh-CN"/>
                <w14:textFill>
                  <w14:solidFill>
                    <w14:schemeClr w14:val="tx1"/>
                  </w14:solidFill>
                </w14:textFill>
              </w:rPr>
              <w:t>H</w:t>
            </w:r>
            <w:r>
              <w:rPr>
                <w:rFonts w:hint="eastAsia" w:ascii="宋体" w:hAnsi="宋体" w:eastAsia="宋体" w:cs="宋体"/>
                <w:color w:val="000000" w:themeColor="text1"/>
                <w:kern w:val="0"/>
                <w:sz w:val="18"/>
                <w:szCs w:val="18"/>
                <w14:textFill>
                  <w14:solidFill>
                    <w14:schemeClr w14:val="tx1"/>
                  </w14:solidFill>
                </w14:textFill>
              </w:rPr>
              <w:t>nux高级渗透测试(第2版)》</w:t>
            </w:r>
          </w:p>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《无线网络安全攻防实战》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Kal</w:t>
            </w:r>
            <w:r>
              <w:rPr>
                <w:rFonts w:hint="eastAsia" w:ascii="宋体" w:hAnsi="宋体" w:cs="宋体"/>
                <w:color w:val="000000" w:themeColor="text1"/>
                <w:kern w:val="0"/>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0"/>
                <w:sz w:val="18"/>
                <w:szCs w:val="18"/>
                <w:shd w:val="clear" w:color="auto" w:fill="FFFFFF"/>
                <w14:textFill>
                  <w14:solidFill>
                    <w14:schemeClr w14:val="tx1"/>
                  </w14:solidFill>
                </w14:textFill>
              </w:rPr>
              <w:t xml:space="preserve"> L</w:t>
            </w:r>
            <w:r>
              <w:rPr>
                <w:rFonts w:hint="eastAsia" w:ascii="宋体" w:hAnsi="宋体" w:cs="宋体"/>
                <w:color w:val="000000" w:themeColor="text1"/>
                <w:kern w:val="0"/>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0"/>
                <w:sz w:val="18"/>
                <w:szCs w:val="18"/>
                <w:shd w:val="clear" w:color="auto" w:fill="FFFFFF"/>
                <w14:textFill>
                  <w14:solidFill>
                    <w14:schemeClr w14:val="tx1"/>
                  </w14:solidFill>
                </w14:textFill>
              </w:rPr>
              <w:t>nux渗透测试攻防实战</w:t>
            </w:r>
          </w:p>
        </w:tc>
        <w:tc>
          <w:tcPr>
            <w:tcW w:w="4333"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2"/>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2"/>
                <w:sz w:val="18"/>
                <w:szCs w:val="18"/>
                <w:shd w:val="clear" w:color="auto" w:fill="FFFFFF"/>
                <w14:textFill>
                  <w14:solidFill>
                    <w14:schemeClr w14:val="tx1"/>
                  </w14:solidFill>
                </w14:textFill>
              </w:rPr>
              <w:t>Kal</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 xml:space="preserve"> L</w:t>
            </w:r>
            <w:r>
              <w:rPr>
                <w:rFonts w:hint="eastAsia" w:ascii="宋体" w:hAnsi="宋体" w:cs="宋体"/>
                <w:color w:val="000000" w:themeColor="text1"/>
                <w:kern w:val="2"/>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2"/>
                <w:sz w:val="18"/>
                <w:szCs w:val="18"/>
                <w:shd w:val="clear" w:color="auto" w:fill="FFFFFF"/>
                <w14:textFill>
                  <w14:solidFill>
                    <w14:schemeClr w14:val="tx1"/>
                  </w14:solidFill>
                </w14:textFill>
              </w:rPr>
              <w:t>nux渗透测试的各种核心技术，涵盖从安装配置，到信息收集和漏洞扫描及利用，再到权限提升及各种渗透测试等技术。</w:t>
            </w:r>
          </w:p>
        </w:tc>
        <w:tc>
          <w:tcPr>
            <w:tcW w:w="2235" w:type="dxa"/>
            <w:vMerge w:val="continue"/>
            <w:vAlign w:val="center"/>
          </w:tcPr>
          <w:p>
            <w:pPr>
              <w:pStyle w:val="29"/>
              <w:ind w:firstLine="0" w:firstLineChars="0"/>
              <w:jc w:val="both"/>
              <w:rPr>
                <w:rFonts w:asciiTheme="minorEastAsia" w:hAnsiTheme="minorEastAsia" w:eastAsiaTheme="minorEastAsia"/>
                <w:color w:val="000000" w:themeColor="text1"/>
                <w:kern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23"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654"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W</w:t>
            </w:r>
            <w:r>
              <w:rPr>
                <w:rFonts w:hint="eastAsia" w:ascii="宋体" w:hAnsi="宋体" w:cs="宋体"/>
                <w:color w:val="000000" w:themeColor="text1"/>
                <w:kern w:val="0"/>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0"/>
                <w:sz w:val="18"/>
                <w:szCs w:val="18"/>
                <w:shd w:val="clear" w:color="auto" w:fill="FFFFFF"/>
                <w14:textFill>
                  <w14:solidFill>
                    <w14:schemeClr w14:val="tx1"/>
                  </w14:solidFill>
                </w14:textFill>
              </w:rPr>
              <w:t>F</w:t>
            </w:r>
            <w:r>
              <w:rPr>
                <w:rFonts w:hint="eastAsia" w:ascii="宋体" w:hAnsi="宋体" w:cs="宋体"/>
                <w:color w:val="000000" w:themeColor="text1"/>
                <w:kern w:val="0"/>
                <w:sz w:val="18"/>
                <w:szCs w:val="18"/>
                <w:shd w:val="clear" w:color="auto" w:fill="FFFFFF"/>
                <w:lang w:eastAsia="zh-CN"/>
                <w14:textFill>
                  <w14:solidFill>
                    <w14:schemeClr w14:val="tx1"/>
                  </w14:solidFill>
                </w14:textFill>
              </w:rPr>
              <w:t>H</w:t>
            </w:r>
            <w:r>
              <w:rPr>
                <w:rFonts w:hint="eastAsia" w:ascii="宋体" w:hAnsi="宋体" w:eastAsia="宋体" w:cs="宋体"/>
                <w:color w:val="000000" w:themeColor="text1"/>
                <w:kern w:val="0"/>
                <w:sz w:val="18"/>
                <w:szCs w:val="18"/>
                <w:shd w:val="clear" w:color="auto" w:fill="FFFFFF"/>
                <w14:textFill>
                  <w14:solidFill>
                    <w14:schemeClr w14:val="tx1"/>
                  </w14:solidFill>
                </w14:textFill>
              </w:rPr>
              <w:t>无线安全攻防</w:t>
            </w:r>
          </w:p>
        </w:tc>
        <w:tc>
          <w:tcPr>
            <w:tcW w:w="4333" w:type="dxa"/>
            <w:vAlign w:val="center"/>
          </w:tcPr>
          <w:p>
            <w:pPr>
              <w:pStyle w:val="29"/>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color w:val="000000" w:themeColor="text1"/>
                <w:kern w:val="0"/>
                <w:sz w:val="18"/>
                <w:szCs w:val="18"/>
                <w:shd w:val="clear" w:color="auto" w:fill="FFFFFF"/>
                <w14:textFill>
                  <w14:solidFill>
                    <w14:schemeClr w14:val="tx1"/>
                  </w14:solidFill>
                </w14:textFill>
              </w:rPr>
            </w:pPr>
            <w:r>
              <w:rPr>
                <w:rFonts w:hint="eastAsia" w:ascii="宋体" w:hAnsi="宋体" w:cs="宋体"/>
                <w:color w:val="000000" w:themeColor="text1"/>
                <w:kern w:val="2"/>
                <w:sz w:val="18"/>
                <w:szCs w:val="18"/>
                <w:shd w:val="clear" w:color="auto" w:fill="FFFFFF"/>
                <w:lang w:eastAsia="zh-CN"/>
                <w14:textFill>
                  <w14:solidFill>
                    <w14:schemeClr w14:val="tx1"/>
                  </w14:solidFill>
                </w14:textFill>
              </w:rPr>
              <w:t>掌握</w:t>
            </w:r>
            <w:r>
              <w:rPr>
                <w:rFonts w:hint="eastAsia" w:ascii="宋体" w:hAnsi="宋体" w:eastAsia="宋体" w:cs="宋体"/>
                <w:color w:val="000000" w:themeColor="text1"/>
                <w:kern w:val="2"/>
                <w:sz w:val="18"/>
                <w:szCs w:val="18"/>
                <w:shd w:val="clear" w:color="auto" w:fill="FFFFFF"/>
                <w14:textFill>
                  <w14:solidFill>
                    <w14:schemeClr w14:val="tx1"/>
                  </w14:solidFill>
                </w14:textFill>
              </w:rPr>
              <w:t>设备硬件以及无线电通信的威胁。</w:t>
            </w:r>
          </w:p>
        </w:tc>
        <w:tc>
          <w:tcPr>
            <w:tcW w:w="2235" w:type="dxa"/>
            <w:vMerge w:val="continue"/>
            <w:vAlign w:val="center"/>
          </w:tcPr>
          <w:p>
            <w:pPr>
              <w:pStyle w:val="29"/>
              <w:ind w:firstLine="0" w:firstLineChars="0"/>
              <w:jc w:val="both"/>
              <w:rPr>
                <w:rFonts w:asciiTheme="minorEastAsia" w:hAnsiTheme="minorEastAsia" w:eastAsiaTheme="minorEastAsia"/>
                <w:color w:val="000000" w:themeColor="text1"/>
                <w:kern w:val="0"/>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23" w:type="dxa"/>
            <w:vAlign w:val="center"/>
          </w:tcPr>
          <w:p>
            <w:pPr>
              <w:pStyle w:val="29"/>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65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shd w:val="clear" w:color="auto" w:fill="FFFFFF"/>
                <w14:textFill>
                  <w14:solidFill>
                    <w14:schemeClr w14:val="tx1"/>
                  </w14:solidFill>
                </w14:textFill>
              </w:rPr>
              <w:t>攻防实战</w:t>
            </w:r>
          </w:p>
        </w:tc>
        <w:tc>
          <w:tcPr>
            <w:tcW w:w="4333" w:type="dxa"/>
            <w:vAlign w:val="center"/>
          </w:tcPr>
          <w:p>
            <w:pPr>
              <w:pStyle w:val="2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color w:val="000000" w:themeColor="text1"/>
                <w:kern w:val="2"/>
                <w:sz w:val="18"/>
                <w:szCs w:val="18"/>
                <w:shd w:val="clear" w:color="auto" w:fill="FFFFFF"/>
                <w:lang w:eastAsia="zh-CN"/>
                <w14:textFill>
                  <w14:solidFill>
                    <w14:schemeClr w14:val="tx1"/>
                  </w14:solidFill>
                </w14:textFill>
              </w:rPr>
            </w:pPr>
            <w:r>
              <w:rPr>
                <w:rFonts w:hint="eastAsia" w:ascii="宋体" w:hAnsi="宋体" w:cs="宋体"/>
                <w:color w:val="000000" w:themeColor="text1"/>
                <w:kern w:val="2"/>
                <w:sz w:val="18"/>
                <w:szCs w:val="18"/>
                <w:shd w:val="clear" w:color="auto" w:fill="FFFFFF"/>
                <w:lang w:eastAsia="zh-CN"/>
                <w14:textFill>
                  <w14:solidFill>
                    <w14:schemeClr w14:val="tx1"/>
                  </w14:solidFill>
                </w14:textFill>
              </w:rPr>
              <w:t>掌握攻防实战技术</w:t>
            </w:r>
          </w:p>
        </w:tc>
        <w:tc>
          <w:tcPr>
            <w:tcW w:w="2235" w:type="dxa"/>
            <w:vMerge w:val="continue"/>
            <w:vAlign w:val="center"/>
          </w:tcPr>
          <w:p>
            <w:pPr>
              <w:pStyle w:val="29"/>
              <w:ind w:firstLine="0" w:firstLineChars="0"/>
              <w:jc w:val="both"/>
              <w:rPr>
                <w:rFonts w:asciiTheme="minorEastAsia" w:hAnsiTheme="minorEastAsia" w:eastAsiaTheme="minorEastAsia"/>
                <w:color w:val="000000" w:themeColor="text1"/>
                <w:kern w:val="0"/>
                <w:sz w:val="21"/>
                <w14:textFill>
                  <w14:solidFill>
                    <w14:schemeClr w14:val="tx1"/>
                  </w14:solidFill>
                </w14:textFill>
              </w:rPr>
            </w:pPr>
          </w:p>
        </w:tc>
      </w:tr>
    </w:tbl>
    <w:p>
      <w:pPr>
        <w:pStyle w:val="29"/>
        <w:keepNext w:val="0"/>
        <w:keepLines w:val="0"/>
        <w:pageBreakBefore w:val="0"/>
        <w:widowControl w:val="0"/>
        <w:kinsoku/>
        <w:wordWrap/>
        <w:overflowPunct/>
        <w:topLinePunct w:val="0"/>
        <w:autoSpaceDE/>
        <w:autoSpaceDN/>
        <w:bidi w:val="0"/>
        <w:adjustRightInd/>
        <w:snapToGrid/>
        <w:spacing w:before="160" w:beforeLines="50"/>
        <w:ind w:left="378" w:leftChars="0" w:hanging="378" w:hangingChars="180"/>
        <w:textAlignment w:val="auto"/>
        <w:rPr>
          <w:rFonts w:hint="eastAsia" w:cs="Helvetica" w:asciiTheme="minorEastAsia" w:hAnsiTheme="minorEastAsia" w:eastAsiaTheme="minorEastAsia"/>
          <w:color w:val="000000" w:themeColor="text1"/>
          <w:shd w:val="clear" w:color="auto" w:fill="FFFFFF"/>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G.3.4</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 xml:space="preserve">  网络安全法律法规</w:t>
      </w:r>
    </w:p>
    <w:p>
      <w:pPr>
        <w:pStyle w:val="29"/>
        <w:keepNext w:val="0"/>
        <w:keepLines w:val="0"/>
        <w:pageBreakBefore w:val="0"/>
        <w:widowControl w:val="0"/>
        <w:kinsoku/>
        <w:wordWrap/>
        <w:overflowPunct/>
        <w:topLinePunct w:val="0"/>
        <w:autoSpaceDE/>
        <w:autoSpaceDN/>
        <w:bidi w:val="0"/>
        <w:adjustRightInd/>
        <w:snapToGrid/>
        <w:ind w:left="378" w:leftChars="0" w:hanging="378" w:hangingChars="180"/>
        <w:jc w:val="center"/>
        <w:textAlignment w:val="auto"/>
        <w:rPr>
          <w:rFonts w:hint="default" w:cs="Helvetica" w:asciiTheme="minorEastAsia" w:hAnsiTheme="minorEastAsia" w:eastAsiaTheme="minorEastAsia"/>
          <w:color w:val="000000" w:themeColor="text1"/>
          <w:shd w:val="clear" w:color="auto" w:fill="FFFFFF"/>
          <w:lang w:val="en-US" w:eastAsia="zh-CN"/>
          <w14:textFill>
            <w14:solidFill>
              <w14:schemeClr w14:val="tx1"/>
            </w14:solidFill>
          </w14:textFill>
        </w:rPr>
      </w:pPr>
      <w:r>
        <w:rPr>
          <w:rFonts w:hint="eastAsia" w:cs="Helvetica" w:asciiTheme="minorEastAsia" w:hAnsiTheme="minorEastAsia" w:eastAsiaTheme="minorEastAsia"/>
          <w:color w:val="000000" w:themeColor="text1"/>
          <w:shd w:val="clear" w:color="auto" w:fill="FFFFFF"/>
          <w:lang w:eastAsia="zh-CN"/>
          <w14:textFill>
            <w14:solidFill>
              <w14:schemeClr w14:val="tx1"/>
            </w14:solidFill>
          </w14:textFill>
        </w:rPr>
        <w:t>表</w:t>
      </w:r>
      <w:r>
        <w:rPr>
          <w:rFonts w:hint="eastAsia" w:cs="Helvetica" w:asciiTheme="minorEastAsia" w:hAnsiTheme="minorEastAsia" w:eastAsiaTheme="minorEastAsia"/>
          <w:color w:val="000000" w:themeColor="text1"/>
          <w:shd w:val="clear" w:color="auto" w:fill="FFFFFF"/>
          <w:lang w:val="en-US" w:eastAsia="zh-CN"/>
          <w14:textFill>
            <w14:solidFill>
              <w14:schemeClr w14:val="tx1"/>
            </w14:solidFill>
          </w14:textFill>
        </w:rPr>
        <w:t xml:space="preserve">G.6 </w:t>
      </w:r>
      <w:r>
        <w:rPr>
          <w:rFonts w:hint="eastAsia" w:cs="Helvetica" w:asciiTheme="minorEastAsia" w:hAnsiTheme="minorEastAsia" w:eastAsiaTheme="minorEastAsia"/>
          <w:color w:val="000000" w:themeColor="text1"/>
          <w:shd w:val="clear" w:color="auto" w:fill="FFFFFF"/>
          <w14:textFill>
            <w14:solidFill>
              <w14:schemeClr w14:val="tx1"/>
            </w14:solidFill>
          </w14:textFill>
        </w:rPr>
        <w:t>网络安全法律法规</w:t>
      </w:r>
      <w:r>
        <w:rPr>
          <w:rFonts w:hint="eastAsia" w:cs="Helvetica" w:asciiTheme="minorEastAsia" w:hAnsiTheme="minorEastAsia" w:eastAsiaTheme="minorEastAsia"/>
          <w:color w:val="000000" w:themeColor="text1"/>
          <w:shd w:val="clear" w:color="auto" w:fill="FFFFFF"/>
          <w:lang w:eastAsia="zh-CN"/>
          <w14:textFill>
            <w14:solidFill>
              <w14:schemeClr w14:val="tx1"/>
            </w14:solidFill>
          </w14:textFill>
        </w:rPr>
        <w:t>课程内容与要求</w:t>
      </w:r>
    </w:p>
    <w:tbl>
      <w:tblPr>
        <w:tblStyle w:val="21"/>
        <w:tblW w:w="915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755"/>
        <w:gridCol w:w="420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pStyle w:val="29"/>
              <w:ind w:firstLine="0" w:firstLineChars="0"/>
              <w:jc w:val="center"/>
              <w:rPr>
                <w:rFonts w:asciiTheme="minorEastAsia" w:hAnsiTheme="minorEastAsia" w:eastAsiaTheme="minorEastAsia"/>
                <w:color w:val="000000" w:themeColor="text1"/>
                <w:kern w:val="0"/>
                <w:sz w:val="21"/>
                <w14:textFill>
                  <w14:solidFill>
                    <w14:schemeClr w14:val="tx1"/>
                  </w14:solidFill>
                </w14:textFill>
              </w:rPr>
            </w:pPr>
            <w:r>
              <w:rPr>
                <w:rFonts w:hint="eastAsia" w:asciiTheme="minorEastAsia" w:hAnsiTheme="minorEastAsia" w:eastAsiaTheme="minorEastAsia"/>
                <w:color w:val="000000" w:themeColor="text1"/>
                <w:kern w:val="0"/>
                <w:sz w:val="21"/>
                <w14:textFill>
                  <w14:solidFill>
                    <w14:schemeClr w14:val="tx1"/>
                  </w14:solidFill>
                </w14:textFill>
              </w:rPr>
              <w:t>章节号</w:t>
            </w:r>
          </w:p>
        </w:tc>
        <w:tc>
          <w:tcPr>
            <w:tcW w:w="1755" w:type="dxa"/>
          </w:tcPr>
          <w:p>
            <w:pPr>
              <w:pStyle w:val="29"/>
              <w:ind w:firstLine="0" w:firstLineChars="0"/>
              <w:jc w:val="center"/>
              <w:rPr>
                <w:rFonts w:asciiTheme="minorEastAsia" w:hAnsiTheme="minorEastAsia" w:eastAsiaTheme="minorEastAsia"/>
                <w:color w:val="000000" w:themeColor="text1"/>
                <w:kern w:val="0"/>
                <w:sz w:val="21"/>
                <w14:textFill>
                  <w14:solidFill>
                    <w14:schemeClr w14:val="tx1"/>
                  </w14:solidFill>
                </w14:textFill>
              </w:rPr>
            </w:pPr>
            <w:r>
              <w:rPr>
                <w:rFonts w:hint="eastAsia" w:asciiTheme="minorEastAsia" w:hAnsiTheme="minorEastAsia" w:eastAsiaTheme="minorEastAsia"/>
                <w:color w:val="000000" w:themeColor="text1"/>
                <w:kern w:val="0"/>
                <w:sz w:val="21"/>
                <w14:textFill>
                  <w14:solidFill>
                    <w14:schemeClr w14:val="tx1"/>
                  </w14:solidFill>
                </w14:textFill>
              </w:rPr>
              <w:t>章节名</w:t>
            </w:r>
          </w:p>
        </w:tc>
        <w:tc>
          <w:tcPr>
            <w:tcW w:w="4200" w:type="dxa"/>
          </w:tcPr>
          <w:p>
            <w:pPr>
              <w:pStyle w:val="29"/>
              <w:ind w:firstLine="0" w:firstLineChars="0"/>
              <w:jc w:val="center"/>
              <w:rPr>
                <w:rFonts w:asciiTheme="minorEastAsia" w:hAnsiTheme="minorEastAsia" w:eastAsiaTheme="minorEastAsia"/>
                <w:color w:val="000000" w:themeColor="text1"/>
                <w:kern w:val="0"/>
                <w:sz w:val="21"/>
                <w14:textFill>
                  <w14:solidFill>
                    <w14:schemeClr w14:val="tx1"/>
                  </w14:solidFill>
                </w14:textFill>
              </w:rPr>
            </w:pPr>
            <w:r>
              <w:rPr>
                <w:rFonts w:hint="eastAsia" w:asciiTheme="minorEastAsia" w:hAnsiTheme="minorEastAsia" w:eastAsiaTheme="minorEastAsia"/>
                <w:color w:val="000000" w:themeColor="text1"/>
                <w:kern w:val="0"/>
                <w:sz w:val="21"/>
                <w14:textFill>
                  <w14:solidFill>
                    <w14:schemeClr w14:val="tx1"/>
                  </w14:solidFill>
                </w14:textFill>
              </w:rPr>
              <w:t>内容与要求</w:t>
            </w:r>
          </w:p>
        </w:tc>
        <w:tc>
          <w:tcPr>
            <w:tcW w:w="2235" w:type="dxa"/>
          </w:tcPr>
          <w:p>
            <w:pPr>
              <w:pStyle w:val="29"/>
              <w:ind w:firstLine="0" w:firstLineChars="0"/>
              <w:jc w:val="center"/>
              <w:rPr>
                <w:rFonts w:asciiTheme="minorEastAsia" w:hAnsiTheme="minorEastAsia" w:eastAsiaTheme="minorEastAsia"/>
                <w:color w:val="000000" w:themeColor="text1"/>
                <w:kern w:val="0"/>
                <w:sz w:val="21"/>
                <w14:textFill>
                  <w14:solidFill>
                    <w14:schemeClr w14:val="tx1"/>
                  </w14:solidFill>
                </w14:textFill>
              </w:rPr>
            </w:pPr>
            <w:r>
              <w:rPr>
                <w:rFonts w:hint="eastAsia" w:asciiTheme="minorEastAsia" w:hAnsiTheme="minorEastAsia" w:eastAsiaTheme="minorEastAsia"/>
                <w:color w:val="000000" w:themeColor="text1"/>
                <w:kern w:val="0"/>
                <w:sz w:val="21"/>
                <w14:textFill>
                  <w14:solidFill>
                    <w14:schemeClr w14:val="tx1"/>
                  </w14:solidFill>
                </w14:textFill>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pStyle w:val="2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heme="minorEastAsia" w:hAnsiTheme="minorEastAsia" w:eastAsia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olor w:val="000000" w:themeColor="text1"/>
                <w:kern w:val="0"/>
                <w:sz w:val="18"/>
                <w:szCs w:val="18"/>
                <w14:textFill>
                  <w14:solidFill>
                    <w14:schemeClr w14:val="tx1"/>
                  </w14:solidFill>
                </w14:textFill>
              </w:rPr>
              <w:t>1</w:t>
            </w:r>
          </w:p>
        </w:tc>
        <w:tc>
          <w:tcPr>
            <w:tcW w:w="1755" w:type="dxa"/>
            <w:vAlign w:val="center"/>
          </w:tcPr>
          <w:p>
            <w:pPr>
              <w:pStyle w:val="29"/>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asciiTheme="minorEastAsia" w:hAnsiTheme="minorEastAsia" w:eastAsiaTheme="minorEastAsia"/>
                <w:color w:val="000000" w:themeColor="text1"/>
                <w:kern w:val="0"/>
                <w:sz w:val="18"/>
                <w:szCs w:val="18"/>
                <w14:textFill>
                  <w14:solidFill>
                    <w14:schemeClr w14:val="tx1"/>
                  </w14:solidFill>
                </w14:textFill>
              </w:rPr>
            </w:pPr>
            <w:r>
              <w:rPr>
                <w:rFonts w:asciiTheme="minorEastAsia" w:hAnsiTheme="minorEastAsia" w:eastAsiaTheme="minorEastAsia"/>
                <w:color w:val="000000" w:themeColor="text1"/>
                <w:kern w:val="0"/>
                <w:sz w:val="18"/>
                <w:szCs w:val="18"/>
                <w14:textFill>
                  <w14:solidFill>
                    <w14:schemeClr w14:val="tx1"/>
                  </w14:solidFill>
                </w14:textFill>
              </w:rPr>
              <w:t>网络安全法律法规</w:t>
            </w:r>
          </w:p>
        </w:tc>
        <w:tc>
          <w:tcPr>
            <w:tcW w:w="420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eastAsia="宋体" w:cs="Times New Roman" w:asciiTheme="minorEastAsia" w:hAnsiTheme="minorEastAsia"/>
                <w:color w:val="000000" w:themeColor="text1"/>
                <w:kern w:val="0"/>
                <w:sz w:val="18"/>
                <w:szCs w:val="18"/>
                <w:lang w:eastAsia="zh-CN"/>
                <w14:textFill>
                  <w14:solidFill>
                    <w14:schemeClr w14:val="tx1"/>
                  </w14:solidFill>
                </w14:textFill>
              </w:rPr>
            </w:pPr>
            <w:r>
              <w:rPr>
                <w:rFonts w:hint="eastAsia" w:ascii="宋体" w:hAnsi="宋体" w:eastAsia="宋体" w:cs="宋体"/>
                <w:kern w:val="0"/>
                <w:sz w:val="18"/>
                <w:szCs w:val="18"/>
                <w:lang w:eastAsia="zh-CN"/>
              </w:rPr>
              <w:t>掌握</w:t>
            </w:r>
            <w:r>
              <w:rPr>
                <w:rFonts w:hint="eastAsia" w:ascii="宋体" w:hAnsi="宋体" w:eastAsia="宋体" w:cs="宋体"/>
                <w:kern w:val="0"/>
                <w:sz w:val="18"/>
                <w:szCs w:val="18"/>
              </w:rPr>
              <w:t>网络安全法、数据安全法等法律、法规</w:t>
            </w:r>
            <w:r>
              <w:rPr>
                <w:rFonts w:hint="eastAsia" w:ascii="宋体" w:hAnsi="宋体" w:eastAsia="宋体" w:cs="宋体"/>
                <w:kern w:val="0"/>
                <w:sz w:val="18"/>
                <w:szCs w:val="18"/>
                <w:lang w:eastAsia="zh-CN"/>
              </w:rPr>
              <w:t>主要</w:t>
            </w:r>
            <w:r>
              <w:rPr>
                <w:rFonts w:hint="eastAsia" w:ascii="宋体" w:hAnsi="宋体" w:eastAsia="宋体" w:cs="宋体"/>
                <w:kern w:val="0"/>
                <w:sz w:val="18"/>
                <w:szCs w:val="18"/>
              </w:rPr>
              <w:t>内容</w:t>
            </w:r>
            <w:r>
              <w:rPr>
                <w:rFonts w:hint="eastAsia" w:ascii="宋体" w:hAnsi="宋体" w:eastAsia="宋体" w:cs="宋体"/>
                <w:kern w:val="0"/>
                <w:sz w:val="18"/>
                <w:szCs w:val="18"/>
                <w:lang w:eastAsia="zh-CN"/>
              </w:rPr>
              <w:t>。</w:t>
            </w:r>
          </w:p>
        </w:tc>
        <w:tc>
          <w:tcPr>
            <w:tcW w:w="2235" w:type="dxa"/>
          </w:tcPr>
          <w:p>
            <w:pPr>
              <w:pStyle w:val="29"/>
              <w:ind w:firstLine="0" w:firstLineChars="0"/>
              <w:rPr>
                <w:rFonts w:asciiTheme="minorEastAsia" w:hAnsiTheme="minorEastAsia" w:eastAsiaTheme="minorEastAsia"/>
                <w:color w:val="000000" w:themeColor="text1"/>
                <w:kern w:val="0"/>
                <w:sz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hint="eastAsia" w:ascii="黑体" w:hAnsi="黑体" w:eastAsia="黑体" w:cs="黑体"/>
          <w:b w:val="0"/>
          <w:bCs w:val="0"/>
          <w:color w:val="000000" w:themeColor="text1"/>
          <w:szCs w:val="21"/>
          <w14:textFill>
            <w14:solidFill>
              <w14:schemeClr w14:val="tx1"/>
            </w14:solidFill>
          </w14:textFill>
        </w:rPr>
      </w:pPr>
      <w:r>
        <w:rPr>
          <w:rFonts w:hint="eastAsia" w:ascii="黑体" w:hAnsi="黑体" w:eastAsia="黑体" w:cs="黑体"/>
          <w:b w:val="0"/>
          <w:bCs w:val="0"/>
          <w:color w:val="000000" w:themeColor="text1"/>
          <w:szCs w:val="21"/>
          <w:lang w:val="en-US" w:eastAsia="zh-CN"/>
          <w14:textFill>
            <w14:solidFill>
              <w14:schemeClr w14:val="tx1"/>
            </w14:solidFill>
          </w14:textFill>
        </w:rPr>
        <w:t xml:space="preserve">G.4 </w:t>
      </w:r>
      <w:r>
        <w:rPr>
          <w:rFonts w:hint="eastAsia" w:ascii="黑体" w:hAnsi="黑体" w:eastAsia="黑体" w:cs="黑体"/>
          <w:b w:val="0"/>
          <w:bCs w:val="0"/>
          <w:color w:val="000000" w:themeColor="text1"/>
          <w:szCs w:val="21"/>
          <w14:textFill>
            <w14:solidFill>
              <w14:schemeClr w14:val="tx1"/>
            </w14:solidFill>
          </w14:textFill>
        </w:rPr>
        <w:t>考试说明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G.4.1</w:t>
      </w:r>
      <w:r>
        <w:rPr>
          <w:rFonts w:hint="eastAsia" w:ascii="黑体" w:hAnsi="黑体" w:eastAsia="黑体" w:cs="黑体"/>
          <w:color w:val="000000" w:themeColor="text1"/>
          <w:szCs w:val="21"/>
          <w14:textFill>
            <w14:solidFill>
              <w14:schemeClr w14:val="tx1"/>
            </w14:solidFill>
          </w14:textFill>
        </w:rPr>
        <w:t>题型</w:t>
      </w:r>
    </w:p>
    <w:p>
      <w:pPr>
        <w:keepNext w:val="0"/>
        <w:keepLines w:val="0"/>
        <w:pageBreakBefore w:val="0"/>
        <w:widowControl w:val="0"/>
        <w:kinsoku/>
        <w:wordWrap/>
        <w:overflowPunct/>
        <w:topLinePunct w:val="0"/>
        <w:autoSpaceDE/>
        <w:autoSpaceDN/>
        <w:bidi w:val="0"/>
        <w:adjustRightInd/>
        <w:snapToGrid/>
        <w:spacing w:after="160" w:afterLines="50" w:line="360" w:lineRule="auto"/>
        <w:jc w:val="center"/>
        <w:textAlignment w:val="auto"/>
        <w:rPr>
          <w:rFonts w:hint="default"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eastAsia="zh-CN"/>
          <w14:textFill>
            <w14:solidFill>
              <w14:schemeClr w14:val="tx1"/>
            </w14:solidFill>
          </w14:textFill>
        </w:rPr>
        <w:t>表</w:t>
      </w:r>
      <w:r>
        <w:rPr>
          <w:rFonts w:hint="eastAsia" w:ascii="黑体" w:hAnsi="黑体" w:eastAsia="黑体" w:cs="黑体"/>
          <w:color w:val="000000" w:themeColor="text1"/>
          <w:szCs w:val="21"/>
          <w:lang w:val="en-US" w:eastAsia="zh-CN"/>
          <w14:textFill>
            <w14:solidFill>
              <w14:schemeClr w14:val="tx1"/>
            </w14:solidFill>
          </w14:textFill>
        </w:rPr>
        <w:t>G.7 题型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2072"/>
        <w:gridCol w:w="2391"/>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3"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题型</w:t>
            </w:r>
          </w:p>
        </w:tc>
        <w:tc>
          <w:tcPr>
            <w:tcW w:w="2072"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数量</w:t>
            </w:r>
          </w:p>
        </w:tc>
        <w:tc>
          <w:tcPr>
            <w:tcW w:w="2391"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单题分值（分）</w:t>
            </w:r>
          </w:p>
        </w:tc>
        <w:tc>
          <w:tcPr>
            <w:tcW w:w="2927"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3"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单项选择</w:t>
            </w:r>
          </w:p>
        </w:tc>
        <w:tc>
          <w:tcPr>
            <w:tcW w:w="2072"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3</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c>
          <w:tcPr>
            <w:tcW w:w="2391"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1</w:t>
            </w:r>
          </w:p>
        </w:tc>
        <w:tc>
          <w:tcPr>
            <w:tcW w:w="2927"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3</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3"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多项选择</w:t>
            </w:r>
          </w:p>
        </w:tc>
        <w:tc>
          <w:tcPr>
            <w:tcW w:w="2072"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2</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c>
          <w:tcPr>
            <w:tcW w:w="2391"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2</w:t>
            </w:r>
          </w:p>
        </w:tc>
        <w:tc>
          <w:tcPr>
            <w:tcW w:w="2927"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4</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3"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判断题</w:t>
            </w:r>
          </w:p>
        </w:tc>
        <w:tc>
          <w:tcPr>
            <w:tcW w:w="2072"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1</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c>
          <w:tcPr>
            <w:tcW w:w="2391"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1</w:t>
            </w:r>
          </w:p>
        </w:tc>
        <w:tc>
          <w:tcPr>
            <w:tcW w:w="2927"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1</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3"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问答题</w:t>
            </w:r>
          </w:p>
        </w:tc>
        <w:tc>
          <w:tcPr>
            <w:tcW w:w="2072"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2</w:t>
            </w:r>
          </w:p>
        </w:tc>
        <w:tc>
          <w:tcPr>
            <w:tcW w:w="2391"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1</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c>
          <w:tcPr>
            <w:tcW w:w="2927" w:type="dxa"/>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2</w:t>
            </w:r>
            <w:r>
              <w:rPr>
                <w:rFonts w:cs="Times New Roman" w:asciiTheme="minorEastAsia" w:hAnsiTheme="minorEastAsia" w:eastAsiaTheme="minorEastAsia"/>
                <w:color w:val="000000" w:themeColor="text1"/>
                <w:kern w:val="0"/>
                <w:sz w:val="21"/>
                <w:szCs w:val="21"/>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before="160" w:beforeLines="50"/>
        <w:textAlignment w:val="auto"/>
        <w:rPr>
          <w:rFonts w:asciiTheme="minorEastAsia" w:hAnsiTheme="minorEastAsia"/>
          <w:color w:val="000000" w:themeColor="text1"/>
          <w:szCs w:val="21"/>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G.4.2</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考试时间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总考试时间为1</w:t>
      </w:r>
      <w:r>
        <w:rPr>
          <w:rFonts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14:textFill>
            <w14:solidFill>
              <w14:schemeClr w14:val="tx1"/>
            </w14:solidFill>
          </w14:textFill>
        </w:rPr>
        <w:t>分钟，提前1</w:t>
      </w:r>
      <w:r>
        <w:rPr>
          <w:rFonts w:asciiTheme="minorEastAsia" w:hAnsiTheme="minorEastAsia"/>
          <w:color w:val="000000" w:themeColor="text1"/>
          <w:szCs w:val="21"/>
          <w14:textFill>
            <w14:solidFill>
              <w14:schemeClr w14:val="tx1"/>
            </w14:solidFill>
          </w14:textFill>
        </w:rPr>
        <w:t>5</w:t>
      </w:r>
      <w:r>
        <w:rPr>
          <w:rFonts w:hint="eastAsia" w:asciiTheme="minorEastAsia" w:hAnsiTheme="minorEastAsia"/>
          <w:color w:val="000000" w:themeColor="text1"/>
          <w:szCs w:val="21"/>
          <w14:textFill>
            <w14:solidFill>
              <w14:schemeClr w14:val="tx1"/>
            </w14:solidFill>
          </w14:textFill>
        </w:rPr>
        <w:t>分钟进入考场，迟到3</w:t>
      </w:r>
      <w:r>
        <w:rPr>
          <w:rFonts w:asciiTheme="minorEastAsia" w:hAnsiTheme="minorEastAsia"/>
          <w:color w:val="000000" w:themeColor="text1"/>
          <w:szCs w:val="21"/>
          <w14:textFill>
            <w14:solidFill>
              <w14:schemeClr w14:val="tx1"/>
            </w14:solidFill>
          </w14:textFill>
        </w:rPr>
        <w:t>0</w:t>
      </w:r>
      <w:r>
        <w:rPr>
          <w:rFonts w:hint="eastAsia" w:asciiTheme="minorEastAsia" w:hAnsiTheme="minorEastAsia"/>
          <w:color w:val="000000" w:themeColor="text1"/>
          <w:szCs w:val="21"/>
          <w14:textFill>
            <w14:solidFill>
              <w14:schemeClr w14:val="tx1"/>
            </w14:solidFill>
          </w14:textFill>
        </w:rPr>
        <w:t>分钟以上的视为放弃考试，考试开始后3</w:t>
      </w:r>
      <w:r>
        <w:rPr>
          <w:rFonts w:asciiTheme="minorEastAsia" w:hAnsiTheme="minorEastAsia"/>
          <w:color w:val="000000" w:themeColor="text1"/>
          <w:szCs w:val="21"/>
          <w14:textFill>
            <w14:solidFill>
              <w14:schemeClr w14:val="tx1"/>
            </w14:solidFill>
          </w14:textFill>
        </w:rPr>
        <w:t>0</w:t>
      </w:r>
      <w:r>
        <w:rPr>
          <w:rFonts w:hint="eastAsia" w:asciiTheme="minorEastAsia" w:hAnsiTheme="minorEastAsia"/>
          <w:color w:val="000000" w:themeColor="text1"/>
          <w:szCs w:val="21"/>
          <w14:textFill>
            <w14:solidFill>
              <w14:schemeClr w14:val="tx1"/>
            </w14:solidFill>
          </w14:textFill>
        </w:rPr>
        <w:t>分钟内离场的成绩无效。</w:t>
      </w:r>
    </w:p>
    <w:p>
      <w:pPr>
        <w:keepNext w:val="0"/>
        <w:keepLines w:val="0"/>
        <w:pageBreakBefore w:val="0"/>
        <w:widowControl w:val="0"/>
        <w:kinsoku/>
        <w:wordWrap/>
        <w:overflowPunct/>
        <w:topLinePunct w:val="0"/>
        <w:autoSpaceDE/>
        <w:autoSpaceDN/>
        <w:bidi w:val="0"/>
        <w:adjustRightInd/>
        <w:snapToGrid/>
        <w:textAlignment w:val="auto"/>
        <w:rPr>
          <w:rFonts w:asciiTheme="minorEastAsia" w:hAnsiTheme="minorEastAsia"/>
          <w:color w:val="000000" w:themeColor="text1"/>
          <w:szCs w:val="21"/>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 xml:space="preserve">G.4.3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考试合格标准</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考试满分为1</w:t>
      </w:r>
      <w:r>
        <w:rPr>
          <w:rFonts w:asciiTheme="minorEastAsia" w:hAnsiTheme="minorEastAsia"/>
          <w:color w:val="000000" w:themeColor="text1"/>
          <w:szCs w:val="21"/>
          <w14:textFill>
            <w14:solidFill>
              <w14:schemeClr w14:val="tx1"/>
            </w14:solidFill>
          </w14:textFill>
        </w:rPr>
        <w:t>00</w:t>
      </w:r>
      <w:r>
        <w:rPr>
          <w:rFonts w:hint="eastAsia" w:asciiTheme="minorEastAsia" w:hAnsiTheme="minorEastAsia"/>
          <w:color w:val="000000" w:themeColor="text1"/>
          <w:szCs w:val="21"/>
          <w14:textFill>
            <w14:solidFill>
              <w14:schemeClr w14:val="tx1"/>
            </w14:solidFill>
          </w14:textFill>
        </w:rPr>
        <w:t>分，考试成绩</w:t>
      </w:r>
      <w:r>
        <w:rPr>
          <w:rFonts w:asciiTheme="minorEastAsia" w:hAnsiTheme="minorEastAsia"/>
          <w:color w:val="000000" w:themeColor="text1"/>
          <w:szCs w:val="21"/>
          <w14:textFill>
            <w14:solidFill>
              <w14:schemeClr w14:val="tx1"/>
            </w14:solidFill>
          </w14:textFill>
        </w:rPr>
        <w:t>70</w:t>
      </w:r>
      <w:r>
        <w:rPr>
          <w:rFonts w:hint="eastAsia" w:asciiTheme="minorEastAsia" w:hAnsiTheme="minorEastAsia"/>
          <w:color w:val="000000" w:themeColor="text1"/>
          <w:szCs w:val="21"/>
          <w14:textFill>
            <w14:solidFill>
              <w14:schemeClr w14:val="tx1"/>
            </w14:solidFill>
          </w14:textFill>
        </w:rPr>
        <w:t>分以上为合格</w:t>
      </w:r>
      <w:r>
        <w:rPr>
          <w:rFonts w:hint="eastAsia" w:asciiTheme="minorEastAsia" w:hAnsiTheme="minorEastAsia"/>
          <w:color w:val="000000" w:themeColor="text1"/>
          <w:szCs w:val="21"/>
          <w:lang w:eastAsia="zh-CN"/>
          <w14:textFill>
            <w14:solidFill>
              <w14:schemeClr w14:val="tx1"/>
            </w14:solidFill>
          </w14:textFill>
        </w:rPr>
        <w:t>。</w:t>
      </w:r>
    </w:p>
    <w:p>
      <w:pPr>
        <w:widowControl/>
        <w:jc w:val="left"/>
        <w:rPr>
          <w:rFonts w:ascii="Songti SC" w:hAnsi="Songti SC" w:eastAsia="Songti SC"/>
          <w:color w:val="000000" w:themeColor="text1"/>
          <w:szCs w:val="21"/>
          <w14:textFill>
            <w14:solidFill>
              <w14:schemeClr w14:val="tx1"/>
            </w14:solidFill>
          </w14:textFill>
        </w:rPr>
      </w:pPr>
      <w:r>
        <w:rPr>
          <w:rFonts w:ascii="Songti SC" w:hAnsi="Songti SC" w:eastAsia="Songti SC"/>
          <w:color w:val="000000" w:themeColor="text1"/>
          <w:szCs w:val="21"/>
          <w14:textFill>
            <w14:solidFill>
              <w14:schemeClr w14:val="tx1"/>
            </w14:solidFill>
          </w14:textFill>
        </w:rPr>
        <w:br w:type="page"/>
      </w:r>
    </w:p>
    <w:p>
      <w:pPr>
        <w:tabs>
          <w:tab w:val="left" w:pos="3455"/>
        </w:tabs>
        <w:spacing w:line="360" w:lineRule="auto"/>
        <w:jc w:val="center"/>
        <w:outlineLvl w:val="0"/>
        <w:rPr>
          <w:rFonts w:hint="eastAsia" w:ascii="黑体" w:hAnsi="黑体" w:eastAsia="黑体" w:cs="黑体"/>
          <w:szCs w:val="21"/>
          <w:lang w:val="en-US" w:eastAsia="zh-CN"/>
        </w:rPr>
      </w:pPr>
      <w:bookmarkStart w:id="77" w:name="_Toc3638"/>
      <w:r>
        <w:rPr>
          <w:rFonts w:hint="eastAsia" w:ascii="黑体" w:hAnsi="黑体" w:eastAsia="黑体" w:cs="黑体"/>
          <w:szCs w:val="21"/>
        </w:rPr>
        <w:t>附</w:t>
      </w:r>
      <w:r>
        <w:rPr>
          <w:rFonts w:hint="eastAsia" w:ascii="黑体" w:hAnsi="黑体" w:eastAsia="黑体" w:cs="黑体"/>
          <w:szCs w:val="21"/>
          <w:lang w:val="en-US" w:eastAsia="zh-CN"/>
        </w:rPr>
        <w:t xml:space="preserve"> </w:t>
      </w:r>
      <w:r>
        <w:rPr>
          <w:rFonts w:hint="eastAsia" w:ascii="黑体" w:hAnsi="黑体" w:eastAsia="黑体" w:cs="黑体"/>
          <w:szCs w:val="21"/>
        </w:rPr>
        <w:t>录</w:t>
      </w:r>
      <w:r>
        <w:rPr>
          <w:rFonts w:hint="eastAsia" w:ascii="黑体" w:hAnsi="黑体" w:eastAsia="黑体" w:cs="黑体"/>
          <w:szCs w:val="21"/>
          <w:lang w:val="en-US" w:eastAsia="zh-CN"/>
        </w:rPr>
        <w:t>H</w:t>
      </w:r>
    </w:p>
    <w:p>
      <w:pPr>
        <w:tabs>
          <w:tab w:val="left" w:pos="3455"/>
        </w:tabs>
        <w:spacing w:line="360" w:lineRule="auto"/>
        <w:jc w:val="center"/>
        <w:outlineLvl w:val="0"/>
        <w:rPr>
          <w:rFonts w:hint="default" w:ascii="黑体" w:hAnsi="黑体" w:eastAsia="黑体" w:cs="黑体"/>
          <w:szCs w:val="21"/>
          <w:lang w:val="en-US" w:eastAsia="zh-CN"/>
        </w:rPr>
      </w:pPr>
      <w:r>
        <w:rPr>
          <w:rFonts w:hint="eastAsia" w:ascii="黑体" w:hAnsi="黑体" w:eastAsia="黑体" w:cs="黑体"/>
          <w:szCs w:val="21"/>
          <w:lang w:val="en-US" w:eastAsia="zh-CN"/>
        </w:rPr>
        <w:t>（规范性）</w:t>
      </w:r>
      <w:bookmarkEnd w:id="77"/>
    </w:p>
    <w:p>
      <w:pPr>
        <w:keepNext w:val="0"/>
        <w:keepLines w:val="0"/>
        <w:pageBreakBefore w:val="0"/>
        <w:widowControl w:val="0"/>
        <w:tabs>
          <w:tab w:val="left" w:pos="3455"/>
        </w:tabs>
        <w:kinsoku/>
        <w:wordWrap/>
        <w:overflowPunct/>
        <w:topLinePunct w:val="0"/>
        <w:autoSpaceDE/>
        <w:autoSpaceDN/>
        <w:bidi w:val="0"/>
        <w:adjustRightInd/>
        <w:snapToGrid/>
        <w:spacing w:after="283" w:line="360" w:lineRule="auto"/>
        <w:jc w:val="center"/>
        <w:textAlignment w:val="auto"/>
        <w:outlineLvl w:val="0"/>
        <w:rPr>
          <w:rFonts w:ascii="黑体" w:hAnsi="黑体" w:eastAsia="黑体" w:cs="黑体"/>
          <w:szCs w:val="21"/>
        </w:rPr>
      </w:pPr>
      <w:bookmarkStart w:id="78" w:name="_Toc2421"/>
      <w:r>
        <w:rPr>
          <w:rFonts w:hint="eastAsia" w:ascii="黑体" w:hAnsi="黑体" w:eastAsia="黑体" w:cs="黑体"/>
          <w:szCs w:val="21"/>
        </w:rPr>
        <w:t>软件安全开发方向考试大纲</w:t>
      </w:r>
      <w:bookmarkEnd w:id="78"/>
    </w:p>
    <w:p>
      <w:pPr>
        <w:pStyle w:val="51"/>
        <w:numPr>
          <w:ilvl w:val="0"/>
          <w:numId w:val="0"/>
        </w:numPr>
        <w:spacing w:line="360" w:lineRule="auto"/>
        <w:ind w:leftChars="0"/>
        <w:rPr>
          <w:rFonts w:hint="eastAsia" w:ascii="黑体" w:hAnsi="黑体" w:eastAsia="黑体" w:cs="黑体"/>
          <w:b w:val="0"/>
          <w:bCs w:val="0"/>
        </w:rPr>
      </w:pPr>
      <w:r>
        <w:rPr>
          <w:rFonts w:hint="eastAsia" w:ascii="黑体" w:hAnsi="黑体" w:eastAsia="黑体" w:cs="黑体"/>
          <w:b w:val="0"/>
          <w:bCs w:val="0"/>
          <w:lang w:val="en-US" w:eastAsia="zh-CN"/>
        </w:rPr>
        <w:t xml:space="preserve">H.1 </w:t>
      </w:r>
      <w:r>
        <w:rPr>
          <w:rFonts w:hint="eastAsia" w:ascii="黑体" w:hAnsi="黑体" w:eastAsia="黑体" w:cs="黑体"/>
          <w:b w:val="0"/>
          <w:bCs w:val="0"/>
        </w:rPr>
        <w:t>目的</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为使考生</w:t>
      </w:r>
      <w:r>
        <w:rPr>
          <w:rFonts w:hint="eastAsia" w:ascii="宋体" w:hAnsi="宋体"/>
          <w:color w:val="000000" w:themeColor="text1"/>
          <w:sz w:val="21"/>
          <w14:textFill>
            <w14:solidFill>
              <w14:schemeClr w14:val="tx1"/>
            </w14:solidFill>
          </w14:textFill>
        </w:rPr>
        <w:t>达到本认证规范中</w:t>
      </w:r>
      <w:r>
        <w:rPr>
          <w:rFonts w:ascii="宋体" w:hAnsi="宋体"/>
          <w:color w:val="000000" w:themeColor="text1"/>
          <w:sz w:val="21"/>
          <w14:textFill>
            <w14:solidFill>
              <w14:schemeClr w14:val="tx1"/>
            </w14:solidFill>
          </w14:textFill>
        </w:rPr>
        <w:t>规定</w:t>
      </w:r>
      <w:r>
        <w:rPr>
          <w:rFonts w:hint="eastAsia" w:ascii="宋体" w:hAnsi="宋体"/>
          <w:color w:val="000000" w:themeColor="text1"/>
          <w:sz w:val="21"/>
          <w14:textFill>
            <w14:solidFill>
              <w14:schemeClr w14:val="tx1"/>
            </w14:solidFill>
          </w14:textFill>
        </w:rPr>
        <w:t>网络空间安全专业人员技术类软件安全开发方向三、四级能力要求，</w:t>
      </w:r>
      <w:r>
        <w:rPr>
          <w:rFonts w:ascii="宋体" w:hAnsi="宋体"/>
          <w:color w:val="000000" w:themeColor="text1"/>
          <w:sz w:val="21"/>
          <w14:textFill>
            <w14:solidFill>
              <w14:schemeClr w14:val="tx1"/>
            </w14:solidFill>
          </w14:textFill>
        </w:rPr>
        <w:t>指导考生有效准备考试，特制定本考试大纲(以下简称大纲)</w:t>
      </w:r>
      <w:r>
        <w:rPr>
          <w:rFonts w:hint="eastAsia" w:ascii="宋体" w:hAnsi="宋体"/>
          <w:color w:val="000000" w:themeColor="text1"/>
          <w:sz w:val="21"/>
          <w:lang w:val="en-US" w:eastAsia="zh-CN"/>
          <w14:textFill>
            <w14:solidFill>
              <w14:schemeClr w14:val="tx1"/>
            </w14:solidFill>
          </w14:textFill>
        </w:rPr>
        <w:t>,</w:t>
      </w:r>
      <w:r>
        <w:rPr>
          <w:rFonts w:hint="eastAsia" w:ascii="宋体" w:hAnsi="宋体"/>
          <w:color w:val="000000" w:themeColor="text1"/>
          <w:sz w:val="21"/>
          <w14:textFill>
            <w14:solidFill>
              <w14:schemeClr w14:val="tx1"/>
            </w14:solidFill>
          </w14:textFill>
        </w:rPr>
        <w:t>本大纲适用于所有申请网络空间安全专业人员认证技术类软件安全开发三、四级的人员。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b w:val="0"/>
          <w:bCs w:val="0"/>
        </w:rPr>
      </w:pPr>
      <w:r>
        <w:rPr>
          <w:rFonts w:hint="eastAsia" w:ascii="黑体" w:hAnsi="黑体" w:eastAsia="黑体" w:cs="黑体"/>
          <w:b w:val="0"/>
          <w:bCs w:val="0"/>
          <w:lang w:val="en-US" w:eastAsia="zh-CN"/>
        </w:rPr>
        <w:t xml:space="preserve">H.2 </w:t>
      </w:r>
      <w:r>
        <w:rPr>
          <w:rFonts w:hint="eastAsia" w:ascii="黑体" w:hAnsi="黑体" w:eastAsia="黑体" w:cs="黑体"/>
          <w:b w:val="0"/>
          <w:bCs w:val="0"/>
        </w:rPr>
        <w:t>考试内容</w:t>
      </w:r>
    </w:p>
    <w:p>
      <w:pPr>
        <w:pStyle w:val="51"/>
        <w:spacing w:after="156" w:afterLines="50" w:line="360" w:lineRule="auto"/>
        <w:ind w:firstLine="0" w:firstLineChars="0"/>
        <w:rPr>
          <w:rFonts w:hint="eastAsia" w:ascii="黑体" w:hAnsi="黑体" w:eastAsia="黑体" w:cs="黑体"/>
        </w:rPr>
      </w:pPr>
      <w:r>
        <w:rPr>
          <w:rFonts w:hint="eastAsia" w:ascii="黑体" w:hAnsi="黑体" w:eastAsia="黑体" w:cs="黑体"/>
          <w:lang w:val="en-US" w:eastAsia="zh-CN"/>
        </w:rPr>
        <w:t xml:space="preserve">H.2.1 </w:t>
      </w:r>
      <w:r>
        <w:rPr>
          <w:rFonts w:hint="eastAsia" w:ascii="黑体" w:hAnsi="黑体" w:eastAsia="黑体" w:cs="黑体"/>
        </w:rPr>
        <w:t>课程要求和考试比例</w:t>
      </w:r>
    </w:p>
    <w:p>
      <w:pPr>
        <w:pStyle w:val="51"/>
        <w:spacing w:after="156" w:afterLines="50" w:line="360" w:lineRule="auto"/>
        <w:ind w:firstLine="0" w:firstLineChars="0"/>
        <w:jc w:val="center"/>
        <w:rPr>
          <w:rFonts w:hint="default" w:ascii="黑体" w:hAnsi="黑体" w:eastAsia="黑体" w:cs="黑体"/>
          <w:lang w:val="en-US" w:eastAsia="zh-CN"/>
        </w:rPr>
      </w:pPr>
      <w:r>
        <w:rPr>
          <w:rFonts w:hint="eastAsia" w:ascii="黑体" w:hAnsi="黑体" w:eastAsia="黑体" w:cs="黑体"/>
          <w:lang w:val="en-US" w:eastAsia="zh-CN"/>
        </w:rPr>
        <w:t xml:space="preserve">表H.1 </w:t>
      </w:r>
      <w:r>
        <w:rPr>
          <w:rFonts w:hint="eastAsia" w:ascii="黑体" w:hAnsi="黑体" w:eastAsia="黑体" w:cs="黑体"/>
        </w:rPr>
        <w:t>课程要求和考试比例</w:t>
      </w:r>
    </w:p>
    <w:tbl>
      <w:tblPr>
        <w:tblStyle w:val="21"/>
        <w:tblW w:w="922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50"/>
        <w:gridCol w:w="214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课程名称</w:t>
            </w:r>
          </w:p>
        </w:tc>
        <w:tc>
          <w:tcPr>
            <w:tcW w:w="1950" w:type="dxa"/>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课程类型</w:t>
            </w:r>
          </w:p>
        </w:tc>
        <w:tc>
          <w:tcPr>
            <w:tcW w:w="2145" w:type="dxa"/>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选择范围</w:t>
            </w:r>
          </w:p>
        </w:tc>
        <w:tc>
          <w:tcPr>
            <w:tcW w:w="2430" w:type="dxa"/>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195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214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43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信息安全技术</w:t>
            </w:r>
          </w:p>
        </w:tc>
        <w:tc>
          <w:tcPr>
            <w:tcW w:w="195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专业</w:t>
            </w:r>
            <w:r>
              <w:rPr>
                <w:rFonts w:hint="eastAsia" w:ascii="宋体" w:hAnsi="宋体" w:eastAsia="宋体" w:cs="宋体"/>
                <w:color w:val="000000" w:themeColor="text1"/>
                <w:sz w:val="18"/>
                <w:szCs w:val="18"/>
                <w14:textFill>
                  <w14:solidFill>
                    <w14:schemeClr w14:val="tx1"/>
                  </w14:solidFill>
                </w14:textFill>
              </w:rPr>
              <w:t>课程</w:t>
            </w:r>
          </w:p>
        </w:tc>
        <w:tc>
          <w:tcPr>
            <w:tcW w:w="214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43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Pr>
          <w:p>
            <w:pPr>
              <w:pStyle w:val="18"/>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软件安全开发</w:t>
            </w:r>
          </w:p>
        </w:tc>
        <w:tc>
          <w:tcPr>
            <w:tcW w:w="195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专业课程</w:t>
            </w:r>
          </w:p>
        </w:tc>
        <w:tc>
          <w:tcPr>
            <w:tcW w:w="2145" w:type="dxa"/>
          </w:tcPr>
          <w:p>
            <w:pPr>
              <w:jc w:val="center"/>
              <w:rPr>
                <w:rFonts w:hint="eastAsia"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全部</w:t>
            </w:r>
          </w:p>
        </w:tc>
        <w:tc>
          <w:tcPr>
            <w:tcW w:w="2430"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50%</w:t>
            </w:r>
          </w:p>
        </w:tc>
      </w:tr>
    </w:tbl>
    <w:p>
      <w:pPr>
        <w:pStyle w:val="51"/>
        <w:keepNext w:val="0"/>
        <w:keepLines w:val="0"/>
        <w:pageBreakBefore w:val="0"/>
        <w:widowControl w:val="0"/>
        <w:kinsoku/>
        <w:wordWrap/>
        <w:overflowPunct/>
        <w:topLinePunct w:val="0"/>
        <w:autoSpaceDE/>
        <w:autoSpaceDN/>
        <w:bidi w:val="0"/>
        <w:adjustRightInd/>
        <w:snapToGrid/>
        <w:spacing w:before="160" w:beforeLines="50" w:line="360" w:lineRule="auto"/>
        <w:ind w:firstLine="0" w:firstLineChars="0"/>
        <w:textAlignment w:val="auto"/>
        <w:rPr>
          <w:rFonts w:hint="eastAsia" w:ascii="黑体" w:hAnsi="黑体" w:eastAsia="黑体" w:cs="黑体"/>
        </w:rPr>
      </w:pPr>
      <w:r>
        <w:rPr>
          <w:rFonts w:hint="eastAsia" w:ascii="黑体" w:hAnsi="黑体" w:eastAsia="黑体" w:cs="黑体"/>
          <w:lang w:val="en-US" w:eastAsia="zh-CN"/>
        </w:rPr>
        <w:t>H.3</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各课程知识点要求</w:t>
      </w:r>
    </w:p>
    <w:p>
      <w:pPr>
        <w:pStyle w:val="51"/>
        <w:spacing w:after="156" w:afterLines="50" w:line="360" w:lineRule="auto"/>
        <w:ind w:left="0" w:leftChars="0" w:firstLine="0" w:firstLineChars="0"/>
        <w:rPr>
          <w:rFonts w:hint="eastAsia" w:ascii="黑体" w:hAnsi="黑体" w:eastAsia="黑体" w:cs="黑体"/>
        </w:rPr>
      </w:pPr>
      <w:r>
        <w:rPr>
          <w:rFonts w:hint="eastAsia" w:ascii="黑体" w:hAnsi="黑体" w:eastAsia="黑体" w:cs="黑体"/>
          <w:lang w:val="en-US" w:eastAsia="zh-CN"/>
        </w:rPr>
        <w:t>H</w:t>
      </w:r>
      <w:r>
        <w:rPr>
          <w:rFonts w:hint="eastAsia" w:ascii="黑体" w:hAnsi="黑体" w:eastAsia="黑体" w:cs="黑体"/>
        </w:rPr>
        <w:t>.</w:t>
      </w:r>
      <w:r>
        <w:rPr>
          <w:rFonts w:hint="eastAsia" w:ascii="黑体" w:hAnsi="黑体" w:eastAsia="黑体" w:cs="黑体"/>
          <w:lang w:val="en-US" w:eastAsia="zh-CN"/>
        </w:rPr>
        <w:t>3</w:t>
      </w:r>
      <w:r>
        <w:rPr>
          <w:rFonts w:hint="eastAsia" w:ascii="黑体" w:hAnsi="黑体" w:eastAsia="黑体" w:cs="黑体"/>
        </w:rPr>
        <w:t>.1 项目管理基础</w:t>
      </w:r>
    </w:p>
    <w:p>
      <w:pPr>
        <w:pStyle w:val="51"/>
        <w:spacing w:after="156" w:afterLines="50" w:line="360" w:lineRule="auto"/>
        <w:ind w:left="0" w:leftChars="0" w:firstLine="0" w:firstLineChars="0"/>
        <w:jc w:val="center"/>
        <w:rPr>
          <w:rFonts w:hint="default"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H.2 项目管理基础课程内容与要求</w:t>
      </w:r>
    </w:p>
    <w:tbl>
      <w:tblPr>
        <w:tblStyle w:val="21"/>
        <w:tblW w:w="9165"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833"/>
        <w:gridCol w:w="4510"/>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章节号</w:t>
            </w:r>
          </w:p>
        </w:tc>
        <w:tc>
          <w:tcPr>
            <w:tcW w:w="1833" w:type="dxa"/>
            <w:vAlign w:val="center"/>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章节名</w:t>
            </w:r>
          </w:p>
        </w:tc>
        <w:tc>
          <w:tcPr>
            <w:tcW w:w="4510" w:type="dxa"/>
            <w:vAlign w:val="center"/>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内容与要求</w:t>
            </w:r>
          </w:p>
        </w:tc>
        <w:tc>
          <w:tcPr>
            <w:tcW w:w="1817" w:type="dxa"/>
            <w:vAlign w:val="center"/>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833" w:type="dxa"/>
            <w:vAlign w:val="center"/>
          </w:tcPr>
          <w:p>
            <w:pPr>
              <w:pStyle w:val="18"/>
              <w:jc w:val="both"/>
              <w:rPr>
                <w:rFonts w:hint="eastAsia" w:ascii="宋体" w:hAnsi="宋体" w:eastAsia="宋体" w:cs="宋体"/>
                <w:sz w:val="18"/>
                <w:szCs w:val="18"/>
              </w:rPr>
            </w:pPr>
            <w:r>
              <w:rPr>
                <w:rFonts w:hint="eastAsia" w:ascii="宋体" w:hAnsi="宋体" w:eastAsia="宋体" w:cs="宋体"/>
                <w:sz w:val="18"/>
                <w:szCs w:val="18"/>
              </w:rPr>
              <w:t xml:space="preserve">项 目 管 理 基本概念 </w:t>
            </w:r>
          </w:p>
          <w:p>
            <w:pPr>
              <w:pStyle w:val="51"/>
              <w:ind w:firstLine="0" w:firstLineChars="0"/>
              <w:jc w:val="both"/>
              <w:rPr>
                <w:rFonts w:hint="eastAsia" w:ascii="宋体" w:hAnsi="宋体" w:eastAsia="宋体" w:cs="宋体"/>
                <w:sz w:val="18"/>
                <w:szCs w:val="18"/>
              </w:rPr>
            </w:pPr>
          </w:p>
        </w:tc>
        <w:tc>
          <w:tcPr>
            <w:tcW w:w="4510"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正确理解项目的本质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正确理解管理的本质</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掌握项目管理的基本分类</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熟练掌握项目管理的生命周期与流程</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掌握项目管理相对其 他管理的特性 </w:t>
            </w:r>
          </w:p>
        </w:tc>
        <w:tc>
          <w:tcPr>
            <w:tcW w:w="1817" w:type="dxa"/>
            <w:vMerge w:val="restart"/>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 xml:space="preserve">《信息安 全保障人员认证考试辅 导丛书》 </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2.各类项目管理期刊 </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3.各类项目管理正式出 版文献 </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4.PM相关书籍5.Pr</w:t>
            </w:r>
            <w:r>
              <w:rPr>
                <w:rFonts w:hint="eastAsia" w:cs="宋体"/>
                <w:sz w:val="18"/>
                <w:szCs w:val="18"/>
                <w:lang w:eastAsia="zh-CN"/>
              </w:rPr>
              <w:t>H</w:t>
            </w:r>
            <w:r>
              <w:rPr>
                <w:rFonts w:hint="eastAsia" w:ascii="宋体" w:hAnsi="宋体" w:eastAsia="宋体" w:cs="宋体"/>
                <w:sz w:val="18"/>
                <w:szCs w:val="18"/>
              </w:rPr>
              <w:t xml:space="preserve">nce2 相关书籍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833"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项目管理的发展历史与现状 </w:t>
            </w:r>
          </w:p>
          <w:p>
            <w:pPr>
              <w:pStyle w:val="51"/>
              <w:ind w:firstLine="0" w:firstLineChars="0"/>
              <w:jc w:val="both"/>
              <w:rPr>
                <w:rFonts w:hint="eastAsia" w:ascii="宋体" w:hAnsi="宋体" w:eastAsia="宋体" w:cs="宋体"/>
                <w:sz w:val="18"/>
                <w:szCs w:val="18"/>
              </w:rPr>
            </w:pPr>
          </w:p>
        </w:tc>
        <w:tc>
          <w:tcPr>
            <w:tcW w:w="4510"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了解项目管理的发展过程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了解国际项目管理发展现状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了解国际国内项目管理人员认证情</w:t>
            </w:r>
          </w:p>
        </w:tc>
        <w:tc>
          <w:tcPr>
            <w:tcW w:w="1817"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九大项目管理知识领域 </w:t>
            </w:r>
          </w:p>
          <w:p>
            <w:pPr>
              <w:pStyle w:val="53"/>
              <w:ind w:firstLine="0" w:firstLineChars="0"/>
              <w:jc w:val="both"/>
              <w:rPr>
                <w:rFonts w:hint="eastAsia" w:ascii="宋体" w:hAnsi="宋体" w:eastAsia="宋体" w:cs="宋体"/>
                <w:sz w:val="18"/>
                <w:szCs w:val="18"/>
              </w:rPr>
            </w:pPr>
          </w:p>
        </w:tc>
        <w:tc>
          <w:tcPr>
            <w:tcW w:w="4510"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熟练掌握项目综合管理、项目范围管理、 项目时间管理、项目成本管理、项目质量管理、项目人力资源管理、项目沟通管理、 项目风险管理和项目采购管理思想与方法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掌握项目综合管理、 项目范围管理、项目 时间管理、项目成本管理、项目质量管理、 项目人力资源管理、 项目沟通管理、项目风险管理和项目采购管理工具和实施技巧 </w:t>
            </w:r>
          </w:p>
        </w:tc>
        <w:tc>
          <w:tcPr>
            <w:tcW w:w="1817"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开发类项目管理技巧</w:t>
            </w:r>
          </w:p>
        </w:tc>
        <w:tc>
          <w:tcPr>
            <w:tcW w:w="4510"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掌握开发类项目管理的特点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掌握开发类项目生命周期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正确掌握开发类项目九大管理知识领域特性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实践一个完整的开发类项目过程 </w:t>
            </w:r>
          </w:p>
        </w:tc>
        <w:tc>
          <w:tcPr>
            <w:tcW w:w="1817"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集成类项目管理技巧 </w:t>
            </w:r>
          </w:p>
          <w:p>
            <w:pPr>
              <w:pStyle w:val="53"/>
              <w:ind w:firstLine="0" w:firstLineChars="0"/>
              <w:jc w:val="both"/>
              <w:rPr>
                <w:rFonts w:hint="eastAsia" w:ascii="宋体" w:hAnsi="宋体" w:eastAsia="宋体" w:cs="宋体"/>
                <w:sz w:val="18"/>
                <w:szCs w:val="18"/>
              </w:rPr>
            </w:pPr>
          </w:p>
        </w:tc>
        <w:tc>
          <w:tcPr>
            <w:tcW w:w="4510"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掌握集成类项目管理的特点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掌握集成类项目生命周期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掌握集成类项目九大管理知识领域特性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实践一个完整的集成 </w:t>
            </w:r>
          </w:p>
        </w:tc>
        <w:tc>
          <w:tcPr>
            <w:tcW w:w="1817" w:type="dxa"/>
            <w:vMerge w:val="continue"/>
            <w:vAlign w:val="center"/>
          </w:tcPr>
          <w:p>
            <w:pPr>
              <w:pStyle w:val="51"/>
              <w:ind w:firstLine="0" w:firstLineChars="0"/>
              <w:jc w:val="both"/>
              <w:rPr>
                <w:rFonts w:hint="eastAsia" w:ascii="宋体" w:hAnsi="宋体" w:eastAsia="宋体" w:cs="宋体"/>
                <w:sz w:val="18"/>
                <w:szCs w:val="18"/>
              </w:rPr>
            </w:pPr>
          </w:p>
        </w:tc>
      </w:tr>
    </w:tbl>
    <w:p>
      <w:pPr>
        <w:pStyle w:val="51"/>
        <w:ind w:left="380" w:firstLine="0" w:firstLineChars="0"/>
      </w:pPr>
    </w:p>
    <w:p>
      <w:pPr>
        <w:pStyle w:val="53"/>
        <w:ind w:left="378" w:leftChars="0" w:hanging="378" w:hangingChars="180"/>
        <w:rPr>
          <w:rFonts w:hint="eastAsia" w:ascii="黑体" w:hAnsi="黑体" w:eastAsia="黑体" w:cs="黑体"/>
        </w:rPr>
      </w:pPr>
      <w:r>
        <w:rPr>
          <w:rFonts w:hint="eastAsia" w:ascii="黑体" w:hAnsi="黑体" w:eastAsia="黑体" w:cs="黑体"/>
          <w:color w:val="000000"/>
          <w:lang w:val="en-US" w:eastAsia="zh-CN"/>
        </w:rPr>
        <w:t>H</w:t>
      </w:r>
      <w:r>
        <w:rPr>
          <w:rFonts w:hint="eastAsia" w:ascii="黑体" w:hAnsi="黑体" w:eastAsia="黑体" w:cs="黑体"/>
          <w:color w:val="000000"/>
        </w:rPr>
        <w:t>.</w:t>
      </w:r>
      <w:r>
        <w:rPr>
          <w:rFonts w:hint="eastAsia" w:ascii="黑体" w:hAnsi="黑体" w:eastAsia="黑体" w:cs="黑体"/>
          <w:color w:val="000000"/>
          <w:lang w:val="en-US" w:eastAsia="zh-CN"/>
        </w:rPr>
        <w:t>3</w:t>
      </w:r>
      <w:r>
        <w:rPr>
          <w:rFonts w:hint="eastAsia" w:ascii="黑体" w:hAnsi="黑体" w:eastAsia="黑体" w:cs="黑体"/>
          <w:color w:val="000000"/>
        </w:rPr>
        <w:t xml:space="preserve">.2 </w:t>
      </w:r>
      <w:r>
        <w:rPr>
          <w:rFonts w:hint="eastAsia" w:ascii="黑体" w:hAnsi="黑体" w:eastAsia="黑体" w:cs="黑体"/>
        </w:rPr>
        <w:t>信息安全技术</w:t>
      </w:r>
    </w:p>
    <w:p>
      <w:pPr>
        <w:pStyle w:val="53"/>
        <w:keepNext w:val="0"/>
        <w:keepLines w:val="0"/>
        <w:pageBreakBefore w:val="0"/>
        <w:widowControl w:val="0"/>
        <w:kinsoku/>
        <w:wordWrap/>
        <w:overflowPunct/>
        <w:topLinePunct w:val="0"/>
        <w:autoSpaceDE/>
        <w:autoSpaceDN/>
        <w:bidi w:val="0"/>
        <w:adjustRightInd/>
        <w:snapToGrid/>
        <w:spacing w:before="160" w:beforeLines="50"/>
        <w:ind w:left="378" w:leftChars="0" w:hanging="378" w:hangingChars="180"/>
        <w:jc w:val="center"/>
        <w:textAlignment w:val="auto"/>
        <w:rPr>
          <w:rFonts w:hint="eastAsia" w:ascii="黑体" w:hAnsi="黑体" w:eastAsia="黑体" w:cs="黑体"/>
          <w:lang w:val="en-US" w:eastAsia="zh-CN"/>
        </w:rPr>
      </w:pPr>
      <w:r>
        <w:rPr>
          <w:rFonts w:hint="eastAsia" w:ascii="黑体" w:hAnsi="黑体" w:eastAsia="黑体" w:cs="黑体"/>
          <w:lang w:val="en-US" w:eastAsia="zh-CN"/>
        </w:rPr>
        <w:t>表H.3 信息安全技术课程内容与要求</w:t>
      </w:r>
    </w:p>
    <w:p>
      <w:pPr>
        <w:pStyle w:val="53"/>
        <w:ind w:left="380" w:firstLine="0" w:firstLineChars="0"/>
        <w:rPr>
          <w:rFonts w:hint="eastAsia"/>
        </w:rPr>
      </w:pPr>
    </w:p>
    <w:tbl>
      <w:tblPr>
        <w:tblStyle w:val="21"/>
        <w:tblW w:w="9150"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654"/>
        <w:gridCol w:w="4541"/>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065"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654"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541"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89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密码学基础</w:t>
            </w:r>
          </w:p>
        </w:tc>
        <w:tc>
          <w:tcPr>
            <w:tcW w:w="4541" w:type="dxa"/>
            <w:vAlign w:val="center"/>
          </w:tcPr>
          <w:p>
            <w:pPr>
              <w:jc w:val="both"/>
              <w:rPr>
                <w:rFonts w:hint="eastAsia" w:ascii="宋体" w:hAnsi="宋体" w:eastAsia="宋体" w:cs="宋体"/>
                <w:sz w:val="18"/>
                <w:szCs w:val="18"/>
              </w:rPr>
            </w:pPr>
            <w:r>
              <w:rPr>
                <w:rFonts w:hint="eastAsia" w:ascii="宋体" w:hAnsi="宋体" w:eastAsia="宋体" w:cs="宋体"/>
                <w:sz w:val="18"/>
                <w:szCs w:val="18"/>
              </w:rPr>
              <w:t>了解密码学发展简史和基本概念</w:t>
            </w:r>
          </w:p>
          <w:p>
            <w:pPr>
              <w:jc w:val="both"/>
              <w:rPr>
                <w:rFonts w:hint="eastAsia" w:ascii="宋体" w:hAnsi="宋体" w:eastAsia="宋体" w:cs="宋体"/>
                <w:sz w:val="18"/>
                <w:szCs w:val="18"/>
              </w:rPr>
            </w:pPr>
            <w:r>
              <w:rPr>
                <w:rFonts w:hint="eastAsia" w:ascii="宋体" w:hAnsi="宋体" w:eastAsia="宋体" w:cs="宋体"/>
                <w:sz w:val="18"/>
                <w:szCs w:val="18"/>
              </w:rPr>
              <w:t>掌握密码学算法知识，如对称密码算法、非对称密码算法、哈希函数和数字签名算法</w:t>
            </w:r>
          </w:p>
        </w:tc>
        <w:tc>
          <w:tcPr>
            <w:tcW w:w="1890" w:type="dxa"/>
            <w:vMerge w:val="restart"/>
            <w:vAlign w:val="center"/>
          </w:tcPr>
          <w:p>
            <w:pPr>
              <w:pStyle w:val="53"/>
              <w:ind w:firstLine="0" w:firstLineChars="0"/>
              <w:jc w:val="center"/>
              <w:rPr>
                <w:sz w:val="21"/>
              </w:rPr>
            </w:pPr>
            <w:r>
              <w:rPr>
                <w:rFonts w:hint="eastAsia"/>
                <w:sz w:val="21"/>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密码学应用</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了解密码学应用基础</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了解公钥基础设施</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掌握虚拟专用网络知识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了解特权管理基础设施</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掌握其他密码应用知识</w:t>
            </w:r>
          </w:p>
        </w:tc>
        <w:tc>
          <w:tcPr>
            <w:tcW w:w="1890" w:type="dxa"/>
            <w:vMerge w:val="continue"/>
          </w:tcPr>
          <w:p>
            <w:pPr>
              <w:pStyle w:val="53"/>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鉴别和访问控制</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掌握鉴别的类型、访问控制模型、访问控制技术</w:t>
            </w:r>
          </w:p>
        </w:tc>
        <w:tc>
          <w:tcPr>
            <w:tcW w:w="1890" w:type="dxa"/>
            <w:vMerge w:val="continue"/>
          </w:tcPr>
          <w:p>
            <w:pPr>
              <w:pStyle w:val="53"/>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操作系统安全</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掌握w</w:t>
            </w:r>
            <w:r>
              <w:rPr>
                <w:rFonts w:hint="eastAsia" w:ascii="宋体" w:hAnsi="宋体" w:cs="宋体"/>
                <w:sz w:val="18"/>
                <w:szCs w:val="18"/>
                <w:lang w:eastAsia="zh-CN"/>
              </w:rPr>
              <w:t>H</w:t>
            </w:r>
            <w:r>
              <w:rPr>
                <w:rFonts w:hint="eastAsia" w:ascii="宋体" w:hAnsi="宋体" w:eastAsia="宋体" w:cs="宋体"/>
                <w:sz w:val="18"/>
                <w:szCs w:val="18"/>
              </w:rPr>
              <w:t>ndows系统安全机制相关知识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掌握L</w:t>
            </w:r>
            <w:r>
              <w:rPr>
                <w:rFonts w:hint="eastAsia" w:ascii="宋体" w:hAnsi="宋体" w:cs="宋体"/>
                <w:sz w:val="18"/>
                <w:szCs w:val="18"/>
                <w:lang w:eastAsia="zh-CN"/>
              </w:rPr>
              <w:t>H</w:t>
            </w:r>
            <w:r>
              <w:rPr>
                <w:rFonts w:hint="eastAsia" w:ascii="宋体" w:hAnsi="宋体" w:eastAsia="宋体" w:cs="宋体"/>
                <w:sz w:val="18"/>
                <w:szCs w:val="18"/>
              </w:rPr>
              <w:t>nux系统安全机制相关知识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掌握安全操作系统设计原则</w:t>
            </w:r>
          </w:p>
        </w:tc>
        <w:tc>
          <w:tcPr>
            <w:tcW w:w="1890" w:type="dxa"/>
            <w:vMerge w:val="continue"/>
          </w:tcPr>
          <w:p>
            <w:pPr>
              <w:pStyle w:val="53"/>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网络安全</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掌握网络安全协议、网络安全设备、网络架构安全知识</w:t>
            </w:r>
          </w:p>
        </w:tc>
        <w:tc>
          <w:tcPr>
            <w:tcW w:w="1890" w:type="dxa"/>
            <w:vMerge w:val="continue"/>
          </w:tcPr>
          <w:p>
            <w:pPr>
              <w:pStyle w:val="53"/>
              <w:ind w:firstLine="0" w:firstLineChars="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数据库安全</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了解数据库系统概念</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掌握数据库安全知识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掌握数据库安全防护方法</w:t>
            </w:r>
          </w:p>
        </w:tc>
        <w:tc>
          <w:tcPr>
            <w:tcW w:w="1890" w:type="dxa"/>
            <w:vMerge w:val="continue"/>
          </w:tcPr>
          <w:p>
            <w:pPr>
              <w:pStyle w:val="5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应用安全</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了解应用安全概念</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掌握web应用安全、互联网服务安全、办公软件安全等知识</w:t>
            </w:r>
          </w:p>
        </w:tc>
        <w:tc>
          <w:tcPr>
            <w:tcW w:w="1890" w:type="dxa"/>
            <w:vMerge w:val="continue"/>
          </w:tcPr>
          <w:p>
            <w:pPr>
              <w:pStyle w:val="5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8</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安全漏洞和恶意代码</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了解安全漏洞的产生和发展</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掌握安全漏洞发现和修复知识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掌握恶意代码的产生和发展、实现技术、防御技术</w:t>
            </w:r>
          </w:p>
        </w:tc>
        <w:tc>
          <w:tcPr>
            <w:tcW w:w="1890" w:type="dxa"/>
            <w:vMerge w:val="continue"/>
          </w:tcPr>
          <w:p>
            <w:pPr>
              <w:pStyle w:val="5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9</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安全攻击和防护</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了解信息收集和分析的作用、方法和防范</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了解常见攻击和防范</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掌握后门设置与防范、痕迹清除和防范</w:t>
            </w:r>
          </w:p>
        </w:tc>
        <w:tc>
          <w:tcPr>
            <w:tcW w:w="1890" w:type="dxa"/>
            <w:vMerge w:val="continue"/>
          </w:tcPr>
          <w:p>
            <w:pPr>
              <w:pStyle w:val="5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1065"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10</w:t>
            </w:r>
          </w:p>
        </w:tc>
        <w:tc>
          <w:tcPr>
            <w:tcW w:w="1654"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软件安全开发</w:t>
            </w:r>
          </w:p>
        </w:tc>
        <w:tc>
          <w:tcPr>
            <w:tcW w:w="4541"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熟悉软件安全开发背景</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掌握软件开发模型知识</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掌握软件安全需求和设计</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掌握软件安全测试方法</w:t>
            </w:r>
          </w:p>
        </w:tc>
        <w:tc>
          <w:tcPr>
            <w:tcW w:w="1890" w:type="dxa"/>
            <w:vMerge w:val="continue"/>
          </w:tcPr>
          <w:p>
            <w:pPr>
              <w:pStyle w:val="5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11</w:t>
            </w:r>
          </w:p>
        </w:tc>
        <w:tc>
          <w:tcPr>
            <w:tcW w:w="1654" w:type="dxa"/>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新技术安全</w:t>
            </w:r>
          </w:p>
        </w:tc>
        <w:tc>
          <w:tcPr>
            <w:tcW w:w="4541" w:type="dxa"/>
          </w:tcPr>
          <w:p>
            <w:pPr>
              <w:pStyle w:val="53"/>
              <w:ind w:firstLine="0" w:firstLineChars="0"/>
              <w:rPr>
                <w:rFonts w:hint="eastAsia" w:ascii="宋体" w:hAnsi="宋体" w:eastAsia="宋体" w:cs="宋体"/>
                <w:sz w:val="18"/>
                <w:szCs w:val="18"/>
              </w:rPr>
            </w:pPr>
            <w:r>
              <w:rPr>
                <w:rFonts w:hint="eastAsia" w:ascii="宋体" w:hAnsi="宋体" w:eastAsia="宋体" w:cs="宋体"/>
                <w:sz w:val="18"/>
                <w:szCs w:val="18"/>
              </w:rPr>
              <w:t>掌握云计算安全、物联网安全、工业控制安全等知识</w:t>
            </w:r>
          </w:p>
        </w:tc>
        <w:tc>
          <w:tcPr>
            <w:tcW w:w="1890" w:type="dxa"/>
            <w:vMerge w:val="continue"/>
          </w:tcPr>
          <w:p>
            <w:pPr>
              <w:pStyle w:val="53"/>
              <w:ind w:firstLine="0" w:firstLineChars="0"/>
            </w:pPr>
          </w:p>
        </w:tc>
      </w:tr>
    </w:tbl>
    <w:p>
      <w:pPr>
        <w:pStyle w:val="53"/>
        <w:ind w:firstLine="0" w:firstLineChars="0"/>
        <w:rPr>
          <w:rFonts w:ascii="宋体" w:hAnsi="宋体"/>
        </w:rPr>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color w:val="000000"/>
        </w:rPr>
      </w:pPr>
      <w:r>
        <w:rPr>
          <w:rFonts w:hint="eastAsia" w:ascii="黑体" w:hAnsi="黑体" w:eastAsia="黑体" w:cs="黑体"/>
          <w:color w:val="000000"/>
          <w:lang w:val="en-US" w:eastAsia="zh-CN"/>
        </w:rPr>
        <w:t>H</w:t>
      </w:r>
      <w:r>
        <w:rPr>
          <w:rFonts w:hint="eastAsia" w:ascii="黑体" w:hAnsi="黑体" w:eastAsia="黑体" w:cs="黑体"/>
          <w:color w:val="000000"/>
        </w:rPr>
        <w:t>.</w:t>
      </w:r>
      <w:r>
        <w:rPr>
          <w:rFonts w:hint="eastAsia" w:ascii="黑体" w:hAnsi="黑体" w:eastAsia="黑体" w:cs="黑体"/>
          <w:color w:val="000000"/>
          <w:lang w:val="en-US" w:eastAsia="zh-CN"/>
        </w:rPr>
        <w:t>3</w:t>
      </w:r>
      <w:r>
        <w:rPr>
          <w:rFonts w:hint="eastAsia" w:ascii="黑体" w:hAnsi="黑体" w:eastAsia="黑体" w:cs="黑体"/>
          <w:color w:val="000000"/>
        </w:rPr>
        <w:t>.3 软件安全开发</w:t>
      </w: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rPr>
          <w:rFonts w:hint="default" w:ascii="黑体" w:hAnsi="黑体" w:eastAsia="黑体" w:cs="黑体"/>
          <w:color w:val="000000"/>
          <w:lang w:val="en-US" w:eastAsia="zh-CN"/>
        </w:rPr>
      </w:pPr>
      <w:r>
        <w:rPr>
          <w:rFonts w:hint="eastAsia" w:ascii="黑体" w:hAnsi="黑体" w:eastAsia="黑体" w:cs="黑体"/>
          <w:color w:val="000000"/>
          <w:lang w:eastAsia="zh-CN"/>
        </w:rPr>
        <w:t>表</w:t>
      </w:r>
      <w:r>
        <w:rPr>
          <w:rFonts w:hint="eastAsia" w:ascii="黑体" w:hAnsi="黑体" w:eastAsia="黑体" w:cs="黑体"/>
          <w:color w:val="000000"/>
          <w:lang w:val="en-US" w:eastAsia="zh-CN"/>
        </w:rPr>
        <w:t>H.4 软件安全开发课程内容与要求</w:t>
      </w:r>
    </w:p>
    <w:tbl>
      <w:tblPr>
        <w:tblStyle w:val="21"/>
        <w:tblW w:w="9135"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654"/>
        <w:gridCol w:w="4663"/>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ind w:firstLine="0" w:firstLineChars="0"/>
              <w:jc w:val="center"/>
              <w:rPr>
                <w:rFonts w:hint="eastAsia" w:ascii="黑体" w:hAnsi="黑体" w:eastAsia="黑体" w:cs="黑体"/>
                <w:color w:val="000000"/>
                <w:sz w:val="21"/>
              </w:rPr>
            </w:pPr>
            <w:r>
              <w:rPr>
                <w:rFonts w:hint="eastAsia" w:ascii="黑体" w:hAnsi="黑体" w:eastAsia="黑体" w:cs="黑体"/>
                <w:color w:val="000000"/>
                <w:sz w:val="21"/>
              </w:rPr>
              <w:t>章节号</w:t>
            </w:r>
          </w:p>
        </w:tc>
        <w:tc>
          <w:tcPr>
            <w:tcW w:w="1654" w:type="dxa"/>
            <w:vAlign w:val="center"/>
          </w:tcPr>
          <w:p>
            <w:pPr>
              <w:pStyle w:val="53"/>
              <w:ind w:firstLine="0" w:firstLineChars="0"/>
              <w:jc w:val="center"/>
              <w:rPr>
                <w:rFonts w:hint="eastAsia" w:ascii="黑体" w:hAnsi="黑体" w:eastAsia="黑体" w:cs="黑体"/>
                <w:color w:val="000000"/>
                <w:sz w:val="21"/>
              </w:rPr>
            </w:pPr>
            <w:r>
              <w:rPr>
                <w:rFonts w:hint="eastAsia" w:ascii="黑体" w:hAnsi="黑体" w:eastAsia="黑体" w:cs="黑体"/>
                <w:color w:val="000000"/>
                <w:sz w:val="21"/>
              </w:rPr>
              <w:t>章节名</w:t>
            </w:r>
          </w:p>
        </w:tc>
        <w:tc>
          <w:tcPr>
            <w:tcW w:w="4663" w:type="dxa"/>
            <w:vAlign w:val="center"/>
          </w:tcPr>
          <w:p>
            <w:pPr>
              <w:pStyle w:val="53"/>
              <w:ind w:firstLine="0" w:firstLineChars="0"/>
              <w:jc w:val="center"/>
              <w:rPr>
                <w:rFonts w:hint="eastAsia" w:ascii="黑体" w:hAnsi="黑体" w:eastAsia="黑体" w:cs="黑体"/>
                <w:color w:val="000000"/>
                <w:sz w:val="21"/>
              </w:rPr>
            </w:pPr>
            <w:r>
              <w:rPr>
                <w:rFonts w:hint="eastAsia" w:ascii="黑体" w:hAnsi="黑体" w:eastAsia="黑体" w:cs="黑体"/>
                <w:color w:val="000000"/>
                <w:sz w:val="21"/>
              </w:rPr>
              <w:t>内容与要求</w:t>
            </w:r>
          </w:p>
        </w:tc>
        <w:tc>
          <w:tcPr>
            <w:tcW w:w="1755" w:type="dxa"/>
            <w:vAlign w:val="center"/>
          </w:tcPr>
          <w:p>
            <w:pPr>
              <w:pStyle w:val="53"/>
              <w:ind w:firstLine="0" w:firstLineChars="0"/>
              <w:jc w:val="center"/>
              <w:rPr>
                <w:rFonts w:hint="eastAsia" w:ascii="黑体" w:hAnsi="黑体" w:eastAsia="黑体" w:cs="黑体"/>
                <w:color w:val="000000"/>
                <w:sz w:val="21"/>
              </w:rPr>
            </w:pPr>
            <w:r>
              <w:rPr>
                <w:rFonts w:hint="eastAsia" w:ascii="黑体" w:hAnsi="黑体" w:eastAsia="黑体" w:cs="黑体"/>
                <w:color w:val="000000"/>
                <w:sz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654" w:type="dxa"/>
            <w:vAlign w:val="center"/>
          </w:tcPr>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软件安全开发基础</w:t>
            </w:r>
          </w:p>
          <w:p>
            <w:pPr>
              <w:pStyle w:val="53"/>
              <w:keepNext w:val="0"/>
              <w:keepLines w:val="0"/>
              <w:pageBreakBefore w:val="0"/>
              <w:kinsoku/>
              <w:wordWrap/>
              <w:overflowPunct/>
              <w:topLinePunct w:val="0"/>
              <w:autoSpaceDE/>
              <w:autoSpaceDN/>
              <w:bidi w:val="0"/>
              <w:adjustRightInd/>
              <w:snapToGrid/>
              <w:spacing w:beforeAutospacing="0" w:afterAutospacing="0"/>
              <w:ind w:firstLine="0" w:firstLineChars="0"/>
              <w:jc w:val="both"/>
              <w:textAlignment w:val="auto"/>
              <w:rPr>
                <w:rFonts w:hint="eastAsia" w:ascii="宋体" w:hAnsi="宋体" w:eastAsia="宋体" w:cs="宋体"/>
                <w:sz w:val="18"/>
                <w:szCs w:val="18"/>
              </w:rPr>
            </w:pPr>
          </w:p>
        </w:tc>
        <w:tc>
          <w:tcPr>
            <w:tcW w:w="4663" w:type="dxa"/>
            <w:vAlign w:val="center"/>
          </w:tcPr>
          <w:p>
            <w:pPr>
              <w:pStyle w:val="53"/>
              <w:keepNext w:val="0"/>
              <w:keepLines w:val="0"/>
              <w:pageBreakBefore w:val="0"/>
              <w:kinsoku/>
              <w:wordWrap/>
              <w:overflowPunct/>
              <w:topLinePunct w:val="0"/>
              <w:autoSpaceDE/>
              <w:autoSpaceDN/>
              <w:bidi w:val="0"/>
              <w:adjustRightInd/>
              <w:snapToGrid/>
              <w:spacing w:beforeAutospacing="0" w:afterAutospacing="0"/>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了解软件安全开发背景</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了解软件安全开发概念</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了解软件安全开发方法</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了解软件安全开发风险管理、信息系统安全工程、CC标准等</w:t>
            </w:r>
          </w:p>
        </w:tc>
        <w:tc>
          <w:tcPr>
            <w:tcW w:w="1755" w:type="dxa"/>
            <w:vMerge w:val="restart"/>
            <w:vAlign w:val="center"/>
          </w:tcPr>
          <w:p>
            <w:pPr>
              <w:pStyle w:val="53"/>
              <w:keepNext w:val="0"/>
              <w:keepLines w:val="0"/>
              <w:pageBreakBefore w:val="0"/>
              <w:widowControl w:val="0"/>
              <w:kinsoku/>
              <w:wordWrap/>
              <w:overflowPunct/>
              <w:topLinePunct w:val="0"/>
              <w:autoSpaceDE/>
              <w:autoSpaceDN/>
              <w:bidi w:val="0"/>
              <w:adjustRightInd w:val="0"/>
              <w:snapToGrid w:val="0"/>
              <w:spacing w:beforeAutospacing="0" w:afterAutospacing="0"/>
              <w:ind w:firstLine="0" w:firstLineChars="0"/>
              <w:jc w:val="both"/>
              <w:textAlignment w:val="auto"/>
              <w:rPr>
                <w:rFonts w:hint="eastAsia" w:ascii="黑体" w:hAnsi="黑体" w:eastAsia="黑体" w:cs="黑体"/>
                <w:sz w:val="18"/>
                <w:szCs w:val="18"/>
              </w:rPr>
            </w:pPr>
            <w:r>
              <w:rPr>
                <w:rFonts w:hint="eastAsia" w:ascii="黑体" w:hAnsi="黑体" w:eastAsia="黑体" w:cs="黑体"/>
                <w:sz w:val="18"/>
                <w:szCs w:val="18"/>
              </w:rPr>
              <w:t>《软件安全开发》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654" w:type="dxa"/>
            <w:vAlign w:val="center"/>
          </w:tcPr>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软件安全需求分析</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w:t>
            </w:r>
          </w:p>
        </w:tc>
        <w:tc>
          <w:tcPr>
            <w:tcW w:w="4663" w:type="dxa"/>
            <w:vAlign w:val="center"/>
          </w:tcPr>
          <w:p>
            <w:pPr>
              <w:pStyle w:val="53"/>
              <w:keepNext w:val="0"/>
              <w:keepLines w:val="0"/>
              <w:pageBreakBefore w:val="0"/>
              <w:kinsoku/>
              <w:wordWrap/>
              <w:overflowPunct/>
              <w:topLinePunct w:val="0"/>
              <w:autoSpaceDE/>
              <w:autoSpaceDN/>
              <w:bidi w:val="0"/>
              <w:adjustRightInd/>
              <w:snapToGrid/>
              <w:spacing w:beforeAutospacing="0" w:afterAutospacing="0"/>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了解软件安全需求的定义和分类、安全需求工程</w:t>
            </w:r>
          </w:p>
          <w:p>
            <w:pPr>
              <w:pStyle w:val="53"/>
              <w:keepNext w:val="0"/>
              <w:keepLines w:val="0"/>
              <w:pageBreakBefore w:val="0"/>
              <w:kinsoku/>
              <w:wordWrap/>
              <w:overflowPunct/>
              <w:topLinePunct w:val="0"/>
              <w:autoSpaceDE/>
              <w:autoSpaceDN/>
              <w:bidi w:val="0"/>
              <w:adjustRightInd/>
              <w:snapToGrid/>
              <w:spacing w:beforeAutospacing="0" w:afterAutospacing="0"/>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熟练掌握安全需求分析方法</w:t>
            </w:r>
          </w:p>
        </w:tc>
        <w:tc>
          <w:tcPr>
            <w:tcW w:w="1755"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spacing w:beforeAutospacing="0" w:afterAutospacing="0"/>
              <w:ind w:firstLine="480"/>
              <w:jc w:val="both"/>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654" w:type="dxa"/>
            <w:vAlign w:val="center"/>
          </w:tcPr>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软件安全设计</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w:t>
            </w:r>
          </w:p>
        </w:tc>
        <w:tc>
          <w:tcPr>
            <w:tcW w:w="4663" w:type="dxa"/>
            <w:vAlign w:val="center"/>
          </w:tcPr>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了解软件设计主要工作</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熟悉软件安全设计原则和减少受攻击面知识</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掌握软件安全设计方法</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掌握软件架构安全性分析方法</w:t>
            </w:r>
          </w:p>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熟练掌握威胁建模知识</w:t>
            </w:r>
          </w:p>
        </w:tc>
        <w:tc>
          <w:tcPr>
            <w:tcW w:w="1755" w:type="dxa"/>
            <w:vMerge w:val="continue"/>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480"/>
              <w:jc w:val="both"/>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654" w:type="dxa"/>
            <w:vAlign w:val="center"/>
          </w:tcPr>
          <w:p>
            <w:pPr>
              <w:keepNext w:val="0"/>
              <w:keepLines w:val="0"/>
              <w:pageBreakBefore w:val="0"/>
              <w:kinsoku/>
              <w:wordWrap/>
              <w:overflowPunct/>
              <w:topLinePunct w:val="0"/>
              <w:autoSpaceDE/>
              <w:autoSpaceDN/>
              <w:bidi w:val="0"/>
              <w:adjustRightInd/>
              <w:snapToGrid/>
              <w:spacing w:beforeAutospacing="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安全编码</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p>
        </w:tc>
        <w:tc>
          <w:tcPr>
            <w:tcW w:w="4663" w:type="dxa"/>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了解软件漏洞含义及分类</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掌握软件安全编码原则和安全编程基础知识</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掌握Web应用安全编程方法</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掌握数据安全编码知识</w:t>
            </w:r>
          </w:p>
        </w:tc>
        <w:tc>
          <w:tcPr>
            <w:tcW w:w="1755" w:type="dxa"/>
            <w:vMerge w:val="continue"/>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both"/>
              <w:textAlignment w:val="auto"/>
              <w:rPr>
                <w:rFonts w:hint="eastAsia" w:ascii="黑体" w:hAnsi="黑体"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654" w:type="dxa"/>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软件安全测试</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p>
        </w:tc>
        <w:tc>
          <w:tcPr>
            <w:tcW w:w="4663" w:type="dxa"/>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掌握软件安全测试基础知识</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熟练掌握代码分析知识</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熟练掌握模糊测试和渗透测试知识</w:t>
            </w:r>
          </w:p>
        </w:tc>
        <w:tc>
          <w:tcPr>
            <w:tcW w:w="1755" w:type="dxa"/>
            <w:vMerge w:val="continue"/>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both"/>
              <w:textAlignment w:val="auto"/>
              <w:rPr>
                <w:rFonts w:hint="eastAsia" w:ascii="黑体" w:hAnsi="黑体" w:eastAsia="黑体" w:cs="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1654" w:type="dxa"/>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软件部署和项目管理安全</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p>
        </w:tc>
        <w:tc>
          <w:tcPr>
            <w:tcW w:w="4663" w:type="dxa"/>
            <w:vAlign w:val="center"/>
          </w:tcPr>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掌握软件部署安全知识</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掌握软件项目管理安全知识</w:t>
            </w:r>
          </w:p>
          <w:p>
            <w:pPr>
              <w:pStyle w:val="1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了解软件安全编码规范检查列表、安全测试工具、测试文档模版等</w:t>
            </w:r>
          </w:p>
        </w:tc>
        <w:tc>
          <w:tcPr>
            <w:tcW w:w="1755" w:type="dxa"/>
            <w:vMerge w:val="continue"/>
            <w:vAlign w:val="center"/>
          </w:tcPr>
          <w:p>
            <w:pPr>
              <w:pStyle w:val="53"/>
              <w:keepNext w:val="0"/>
              <w:keepLines w:val="0"/>
              <w:pageBreakBefore w:val="0"/>
              <w:kinsoku/>
              <w:wordWrap/>
              <w:overflowPunct/>
              <w:topLinePunct w:val="0"/>
              <w:autoSpaceDE/>
              <w:autoSpaceDN/>
              <w:bidi w:val="0"/>
              <w:adjustRightInd w:val="0"/>
              <w:snapToGrid w:val="0"/>
              <w:spacing w:beforeAutospacing="0" w:afterAutospacing="0"/>
              <w:ind w:firstLine="0" w:firstLineChars="0"/>
              <w:jc w:val="both"/>
              <w:textAlignment w:val="auto"/>
              <w:rPr>
                <w:rFonts w:hint="eastAsia" w:ascii="黑体" w:hAnsi="黑体" w:eastAsia="黑体" w:cs="黑体"/>
                <w:color w:val="000000"/>
                <w:sz w:val="18"/>
                <w:szCs w:val="18"/>
              </w:rPr>
            </w:pPr>
          </w:p>
        </w:tc>
      </w:tr>
    </w:tbl>
    <w:p>
      <w:pPr>
        <w:pStyle w:val="53"/>
        <w:keepNext w:val="0"/>
        <w:keepLines w:val="0"/>
        <w:pageBreakBefore w:val="0"/>
        <w:kinsoku/>
        <w:wordWrap/>
        <w:overflowPunct/>
        <w:topLinePunct w:val="0"/>
        <w:autoSpaceDE/>
        <w:autoSpaceDN/>
        <w:bidi w:val="0"/>
        <w:adjustRightInd w:val="0"/>
        <w:snapToGrid w:val="0"/>
        <w:spacing w:beforeAutospacing="0" w:afterAutospacing="0"/>
        <w:ind w:left="380" w:firstLine="0" w:firstLineChars="0"/>
        <w:textAlignment w:val="auto"/>
        <w:rPr>
          <w:rFonts w:hint="eastAsia" w:ascii="黑体" w:hAnsi="黑体" w:eastAsia="黑体" w:cs="黑体"/>
          <w:color w:val="000000"/>
          <w:sz w:val="18"/>
          <w:szCs w:val="18"/>
        </w:rPr>
      </w:pPr>
    </w:p>
    <w:p>
      <w:pPr>
        <w:pStyle w:val="51"/>
        <w:spacing w:line="360" w:lineRule="auto"/>
        <w:ind w:firstLine="0" w:firstLineChars="0"/>
        <w:rPr>
          <w:rFonts w:hint="eastAsia" w:ascii="黑体" w:hAnsi="黑体" w:eastAsia="黑体" w:cs="黑体"/>
          <w:b w:val="0"/>
          <w:bCs w:val="0"/>
        </w:rPr>
      </w:pPr>
      <w:r>
        <w:rPr>
          <w:rFonts w:hint="eastAsia" w:ascii="黑体" w:hAnsi="黑体" w:eastAsia="黑体" w:cs="黑体"/>
          <w:b w:val="0"/>
          <w:bCs w:val="0"/>
          <w:lang w:val="en-US" w:eastAsia="zh-CN"/>
        </w:rPr>
        <w:t xml:space="preserve">H.4 </w:t>
      </w:r>
      <w:r>
        <w:rPr>
          <w:rFonts w:hint="eastAsia" w:ascii="黑体" w:hAnsi="黑体" w:eastAsia="黑体" w:cs="黑体"/>
          <w:b w:val="0"/>
          <w:bCs w:val="0"/>
        </w:rPr>
        <w:t>考试说明</w:t>
      </w:r>
    </w:p>
    <w:p>
      <w:pPr>
        <w:spacing w:line="360" w:lineRule="auto"/>
        <w:rPr>
          <w:szCs w:val="21"/>
        </w:rPr>
      </w:pPr>
      <w:r>
        <w:rPr>
          <w:rFonts w:hint="eastAsia" w:ascii="黑体" w:hAnsi="黑体" w:eastAsia="黑体" w:cs="黑体"/>
          <w:b w:val="0"/>
          <w:bCs w:val="0"/>
          <w:lang w:val="en-US" w:eastAsia="zh-CN"/>
        </w:rPr>
        <w:t>H.4.1</w:t>
      </w:r>
      <w:r>
        <w:rPr>
          <w:szCs w:val="21"/>
        </w:rPr>
        <w:t xml:space="preserve"> </w:t>
      </w:r>
      <w:r>
        <w:rPr>
          <w:rFonts w:hint="eastAsia"/>
          <w:szCs w:val="21"/>
        </w:rPr>
        <w:t>题型</w:t>
      </w:r>
    </w:p>
    <w:tbl>
      <w:tblPr>
        <w:tblStyle w:val="21"/>
        <w:tblW w:w="918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2072"/>
        <w:gridCol w:w="229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3"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题型</w:t>
            </w:r>
          </w:p>
        </w:tc>
        <w:tc>
          <w:tcPr>
            <w:tcW w:w="2072"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数量</w:t>
            </w:r>
          </w:p>
        </w:tc>
        <w:tc>
          <w:tcPr>
            <w:tcW w:w="2290"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单题分值（分）</w:t>
            </w:r>
          </w:p>
        </w:tc>
        <w:tc>
          <w:tcPr>
            <w:tcW w:w="2895"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92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单项选择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c>
          <w:tcPr>
            <w:tcW w:w="2290"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89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多项选择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290"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289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判断题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2290"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89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2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问答题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290"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289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widowControl w:val="0"/>
        <w:kinsoku/>
        <w:wordWrap/>
        <w:overflowPunct/>
        <w:topLinePunct w:val="0"/>
        <w:autoSpaceDE/>
        <w:autoSpaceDN/>
        <w:bidi w:val="0"/>
        <w:adjustRightInd/>
        <w:snapToGrid/>
        <w:spacing w:before="160" w:beforeLines="50" w:after="160" w:afterLines="50" w:line="360" w:lineRule="auto"/>
        <w:textAlignment w:val="auto"/>
        <w:rPr>
          <w:rFonts w:hint="eastAsia" w:ascii="黑体" w:hAnsi="黑体" w:eastAsia="黑体" w:cs="黑体"/>
          <w:szCs w:val="21"/>
        </w:rPr>
      </w:pPr>
      <w:r>
        <w:rPr>
          <w:rFonts w:hint="eastAsia" w:ascii="黑体" w:hAnsi="黑体" w:eastAsia="黑体" w:cs="黑体"/>
          <w:b w:val="0"/>
          <w:bCs w:val="0"/>
          <w:lang w:val="en-US" w:eastAsia="zh-CN"/>
        </w:rPr>
        <w:t>H.4.2</w:t>
      </w:r>
      <w:r>
        <w:rPr>
          <w:rFonts w:hint="eastAsia" w:ascii="黑体" w:hAnsi="黑体" w:eastAsia="黑体" w:cs="黑体"/>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Times New Roman" w:hAnsi="Times New Roman" w:cs="Times New Roman"/>
          <w:szCs w:val="21"/>
        </w:rPr>
      </w:pPr>
      <w:r>
        <w:rPr>
          <w:rFonts w:hint="eastAsia" w:ascii="宋体" w:hAnsi="宋体" w:eastAsia="宋体" w:cs="宋体"/>
          <w:szCs w:val="21"/>
        </w:rPr>
        <w:t>总考试时间为120分钟，提前15分钟进入考场，迟到30分钟以上的视为放弃考试，考试开始后30分钟内离场的成绩无效。</w:t>
      </w:r>
    </w:p>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hint="eastAsia" w:ascii="黑体" w:hAnsi="黑体" w:eastAsia="黑体" w:cs="黑体"/>
          <w:szCs w:val="21"/>
        </w:rPr>
      </w:pPr>
      <w:r>
        <w:rPr>
          <w:rFonts w:hint="eastAsia" w:ascii="黑体" w:hAnsi="黑体" w:eastAsia="黑体" w:cs="黑体"/>
          <w:b w:val="0"/>
          <w:bCs w:val="0"/>
          <w:lang w:val="en-US" w:eastAsia="zh-CN"/>
        </w:rPr>
        <w:t xml:space="preserve">H.4.3 </w:t>
      </w:r>
      <w:r>
        <w:rPr>
          <w:rFonts w:hint="eastAsia" w:ascii="黑体" w:hAnsi="黑体" w:eastAsia="黑体" w:cs="黑体"/>
          <w:szCs w:val="21"/>
        </w:rPr>
        <w:t xml:space="preserve"> 考试合格标准</w:t>
      </w:r>
    </w:p>
    <w:p>
      <w:pPr>
        <w:spacing w:line="360" w:lineRule="auto"/>
        <w:ind w:firstLine="420" w:firstLineChars="200"/>
        <w:rPr>
          <w:rFonts w:hint="eastAsia" w:ascii="Times New Roman" w:hAnsi="Times New Roman" w:cs="Times New Roman" w:eastAsiaTheme="minorEastAsia"/>
          <w:szCs w:val="21"/>
          <w:lang w:val="en-US" w:eastAsia="zh-CN"/>
        </w:rPr>
      </w:pPr>
      <w:r>
        <w:rPr>
          <w:rFonts w:hint="eastAsia" w:ascii="宋体" w:hAnsi="宋体" w:eastAsia="宋体" w:cs="宋体"/>
          <w:szCs w:val="21"/>
        </w:rPr>
        <w:t>考试满分为100分，考试成绩</w:t>
      </w:r>
      <w:r>
        <w:rPr>
          <w:rFonts w:hint="eastAsia" w:ascii="宋体" w:hAnsi="宋体" w:eastAsia="宋体" w:cs="宋体"/>
          <w:szCs w:val="21"/>
          <w:lang w:val="en-US" w:eastAsia="zh-CN"/>
        </w:rPr>
        <w:t>60</w:t>
      </w:r>
      <w:r>
        <w:rPr>
          <w:rFonts w:hint="eastAsia" w:ascii="宋体" w:hAnsi="宋体" w:eastAsia="宋体" w:cs="宋体"/>
          <w:szCs w:val="21"/>
        </w:rPr>
        <w:t>分以上为合格</w:t>
      </w:r>
      <w:r>
        <w:rPr>
          <w:rFonts w:hint="eastAsia" w:ascii="宋体" w:hAnsi="宋体" w:eastAsia="宋体" w:cs="宋体"/>
          <w:szCs w:val="21"/>
          <w:lang w:eastAsia="zh-CN"/>
        </w:rPr>
        <w:t>。</w:t>
      </w:r>
    </w:p>
    <w:p/>
    <w:p/>
    <w:p/>
    <w:p/>
    <w:p/>
    <w:p/>
    <w:p/>
    <w:p/>
    <w:p/>
    <w:p/>
    <w:p/>
    <w:p/>
    <w:p/>
    <w:p/>
    <w:p>
      <w:pPr>
        <w:tabs>
          <w:tab w:val="left" w:pos="3455"/>
        </w:tabs>
        <w:spacing w:line="360" w:lineRule="auto"/>
        <w:rPr>
          <w:rFonts w:hint="eastAsia" w:ascii="黑体" w:hAnsi="黑体" w:eastAsia="黑体" w:cs="黑体"/>
          <w:szCs w:val="21"/>
        </w:rPr>
      </w:pPr>
    </w:p>
    <w:p>
      <w:pPr>
        <w:tabs>
          <w:tab w:val="left" w:pos="3455"/>
        </w:tabs>
        <w:spacing w:line="360" w:lineRule="auto"/>
        <w:rPr>
          <w:rFonts w:hint="eastAsia" w:ascii="黑体" w:hAnsi="黑体" w:eastAsia="黑体" w:cs="黑体"/>
          <w:szCs w:val="21"/>
        </w:rPr>
      </w:pPr>
    </w:p>
    <w:p>
      <w:pPr>
        <w:tabs>
          <w:tab w:val="left" w:pos="3455"/>
        </w:tabs>
        <w:spacing w:line="360" w:lineRule="auto"/>
        <w:jc w:val="center"/>
        <w:outlineLvl w:val="0"/>
        <w:rPr>
          <w:rFonts w:hint="eastAsia" w:ascii="黑体" w:hAnsi="黑体" w:eastAsia="黑体" w:cs="黑体"/>
          <w:szCs w:val="21"/>
          <w:lang w:val="en-US" w:eastAsia="zh-CN"/>
        </w:rPr>
      </w:pPr>
      <w:bookmarkStart w:id="79" w:name="_Toc32625"/>
      <w:r>
        <w:rPr>
          <w:rFonts w:hint="eastAsia" w:ascii="黑体" w:hAnsi="黑体" w:eastAsia="黑体" w:cs="黑体"/>
          <w:szCs w:val="21"/>
        </w:rPr>
        <w:t>附</w:t>
      </w:r>
      <w:r>
        <w:rPr>
          <w:rFonts w:hint="eastAsia" w:ascii="黑体" w:hAnsi="黑体" w:eastAsia="黑体" w:cs="黑体"/>
          <w:szCs w:val="21"/>
          <w:lang w:val="en-US" w:eastAsia="zh-CN"/>
        </w:rPr>
        <w:t xml:space="preserve"> </w:t>
      </w:r>
      <w:r>
        <w:rPr>
          <w:rFonts w:hint="eastAsia" w:ascii="黑体" w:hAnsi="黑体" w:eastAsia="黑体" w:cs="黑体"/>
          <w:szCs w:val="21"/>
        </w:rPr>
        <w:t>录</w:t>
      </w:r>
      <w:r>
        <w:rPr>
          <w:rFonts w:hint="eastAsia" w:ascii="黑体" w:hAnsi="黑体" w:eastAsia="黑体" w:cs="黑体"/>
          <w:szCs w:val="21"/>
          <w:lang w:val="en-US" w:eastAsia="zh-CN"/>
        </w:rPr>
        <w:t xml:space="preserve"> I</w:t>
      </w:r>
      <w:bookmarkEnd w:id="79"/>
    </w:p>
    <w:p>
      <w:pPr>
        <w:tabs>
          <w:tab w:val="left" w:pos="3455"/>
        </w:tabs>
        <w:spacing w:line="360" w:lineRule="auto"/>
        <w:jc w:val="center"/>
        <w:outlineLvl w:val="0"/>
        <w:rPr>
          <w:rFonts w:hint="default" w:ascii="黑体" w:hAnsi="黑体" w:eastAsia="黑体" w:cs="黑体"/>
          <w:szCs w:val="21"/>
          <w:lang w:val="en-US" w:eastAsia="zh-CN"/>
        </w:rPr>
      </w:pPr>
      <w:bookmarkStart w:id="80" w:name="_Toc11330"/>
      <w:r>
        <w:rPr>
          <w:rFonts w:hint="eastAsia" w:ascii="黑体" w:hAnsi="黑体" w:eastAsia="黑体" w:cs="黑体"/>
          <w:szCs w:val="21"/>
          <w:lang w:val="en-US" w:eastAsia="zh-CN"/>
        </w:rPr>
        <w:t>(规范性)</w:t>
      </w:r>
      <w:bookmarkEnd w:id="80"/>
    </w:p>
    <w:p>
      <w:pPr>
        <w:keepNext w:val="0"/>
        <w:keepLines w:val="0"/>
        <w:pageBreakBefore w:val="0"/>
        <w:widowControl w:val="0"/>
        <w:tabs>
          <w:tab w:val="left" w:pos="3455"/>
        </w:tabs>
        <w:kinsoku/>
        <w:wordWrap/>
        <w:overflowPunct/>
        <w:topLinePunct w:val="0"/>
        <w:autoSpaceDE/>
        <w:autoSpaceDN/>
        <w:bidi w:val="0"/>
        <w:adjustRightInd/>
        <w:snapToGrid/>
        <w:spacing w:after="160" w:afterLines="50" w:line="360" w:lineRule="auto"/>
        <w:jc w:val="center"/>
        <w:textAlignment w:val="auto"/>
        <w:outlineLvl w:val="0"/>
        <w:rPr>
          <w:rFonts w:ascii="黑体" w:hAnsi="黑体" w:eastAsia="黑体" w:cs="黑体"/>
          <w:szCs w:val="21"/>
        </w:rPr>
      </w:pPr>
      <w:bookmarkStart w:id="81" w:name="_Toc26543"/>
      <w:r>
        <w:rPr>
          <w:rFonts w:hint="eastAsia" w:ascii="黑体" w:hAnsi="黑体" w:eastAsia="黑体" w:cs="黑体"/>
          <w:szCs w:val="21"/>
        </w:rPr>
        <w:t>网络安全应急响应方向考试大纲</w:t>
      </w:r>
      <w:bookmarkEnd w:id="81"/>
    </w:p>
    <w:p>
      <w:pPr>
        <w:pStyle w:val="51"/>
        <w:keepNext w:val="0"/>
        <w:keepLines w:val="0"/>
        <w:pageBreakBefore w:val="0"/>
        <w:widowControl w:val="0"/>
        <w:numPr>
          <w:ilvl w:val="0"/>
          <w:numId w:val="0"/>
        </w:numPr>
        <w:kinsoku/>
        <w:wordWrap/>
        <w:overflowPunct/>
        <w:topLinePunct w:val="0"/>
        <w:autoSpaceDE/>
        <w:autoSpaceDN/>
        <w:bidi w:val="0"/>
        <w:adjustRightInd/>
        <w:snapToGrid/>
        <w:spacing w:after="160" w:afterLines="50" w:line="360" w:lineRule="auto"/>
        <w:ind w:leftChars="0"/>
        <w:textAlignment w:val="auto"/>
        <w:rPr>
          <w:rFonts w:hint="eastAsia" w:ascii="黑体" w:hAnsi="黑体" w:eastAsia="黑体" w:cs="黑体"/>
          <w:b w:val="0"/>
          <w:bCs w:val="0"/>
        </w:rPr>
      </w:pPr>
      <w:r>
        <w:rPr>
          <w:rFonts w:hint="eastAsia" w:ascii="黑体" w:hAnsi="黑体" w:eastAsia="黑体" w:cs="黑体"/>
          <w:b w:val="0"/>
          <w:bCs w:val="0"/>
          <w:lang w:val="en-US" w:eastAsia="zh-CN"/>
        </w:rPr>
        <w:t xml:space="preserve">I.1 </w:t>
      </w:r>
      <w:r>
        <w:rPr>
          <w:rFonts w:hint="eastAsia" w:ascii="黑体" w:hAnsi="黑体" w:eastAsia="黑体" w:cs="黑体"/>
          <w:b w:val="0"/>
          <w:bCs w:val="0"/>
        </w:rPr>
        <w:t>目的</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为使考生</w:t>
      </w:r>
      <w:r>
        <w:rPr>
          <w:rFonts w:hint="eastAsia" w:ascii="宋体" w:hAnsi="宋体"/>
          <w:color w:val="000000" w:themeColor="text1"/>
          <w:sz w:val="21"/>
          <w14:textFill>
            <w14:solidFill>
              <w14:schemeClr w14:val="tx1"/>
            </w14:solidFill>
          </w14:textFill>
        </w:rPr>
        <w:t>达到本认证规范中</w:t>
      </w:r>
      <w:r>
        <w:rPr>
          <w:rFonts w:ascii="宋体" w:hAnsi="宋体"/>
          <w:color w:val="000000" w:themeColor="text1"/>
          <w:sz w:val="21"/>
          <w14:textFill>
            <w14:solidFill>
              <w14:schemeClr w14:val="tx1"/>
            </w14:solidFill>
          </w14:textFill>
        </w:rPr>
        <w:t>规定</w:t>
      </w:r>
      <w:r>
        <w:rPr>
          <w:rFonts w:hint="eastAsia" w:ascii="宋体" w:hAnsi="宋体"/>
          <w:color w:val="000000" w:themeColor="text1"/>
          <w:sz w:val="21"/>
          <w14:textFill>
            <w14:solidFill>
              <w14:schemeClr w14:val="tx1"/>
            </w14:solidFill>
          </w14:textFill>
        </w:rPr>
        <w:t>网络空间安全专业人员运营类网络安全应急响应方向三、四级能力要求，</w:t>
      </w:r>
      <w:r>
        <w:rPr>
          <w:rFonts w:ascii="宋体" w:hAnsi="宋体"/>
          <w:color w:val="000000" w:themeColor="text1"/>
          <w:sz w:val="21"/>
          <w14:textFill>
            <w14:solidFill>
              <w14:schemeClr w14:val="tx1"/>
            </w14:solidFill>
          </w14:textFill>
        </w:rPr>
        <w:t>指导考生有效准备考试，特制定本考试大纲(以下简称大纲)</w:t>
      </w:r>
      <w:r>
        <w:rPr>
          <w:rFonts w:hint="eastAsia" w:ascii="宋体" w:hAnsi="宋体"/>
          <w:color w:val="000000" w:themeColor="text1"/>
          <w:sz w:val="21"/>
          <w:lang w:val="en-US" w:eastAsia="zh-CN"/>
          <w14:textFill>
            <w14:solidFill>
              <w14:schemeClr w14:val="tx1"/>
            </w14:solidFill>
          </w14:textFill>
        </w:rPr>
        <w:t>,</w:t>
      </w:r>
      <w:r>
        <w:rPr>
          <w:rFonts w:hint="eastAsia" w:ascii="宋体" w:hAnsi="宋体"/>
          <w:color w:val="000000" w:themeColor="text1"/>
          <w:sz w:val="21"/>
          <w14:textFill>
            <w14:solidFill>
              <w14:schemeClr w14:val="tx1"/>
            </w14:solidFill>
          </w14:textFill>
        </w:rPr>
        <w:t>本大纲适用于所有申请网络空间安全专业人员认证运营类网络安全应急响应方向三、四级的人员。</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b w:val="0"/>
          <w:bCs w:val="0"/>
        </w:rPr>
      </w:pPr>
      <w:r>
        <w:rPr>
          <w:rFonts w:hint="eastAsia" w:ascii="黑体" w:hAnsi="黑体" w:eastAsia="黑体" w:cs="黑体"/>
          <w:b w:val="0"/>
          <w:bCs w:val="0"/>
          <w:lang w:val="en-US" w:eastAsia="zh-CN"/>
        </w:rPr>
        <w:t>I.2</w:t>
      </w:r>
      <w:r>
        <w:rPr>
          <w:rFonts w:hint="eastAsia" w:ascii="黑体" w:hAnsi="黑体" w:eastAsia="黑体" w:cs="黑体"/>
          <w:b w:val="0"/>
          <w:bCs w:val="0"/>
        </w:rPr>
        <w:t>考试内容</w:t>
      </w:r>
    </w:p>
    <w:p>
      <w:pPr>
        <w:pStyle w:val="51"/>
        <w:spacing w:after="156" w:afterLines="50" w:line="360" w:lineRule="auto"/>
        <w:ind w:firstLine="0" w:firstLineChars="0"/>
        <w:rPr>
          <w:rFonts w:hint="eastAsia" w:ascii="黑体" w:hAnsi="黑体" w:eastAsia="黑体" w:cs="黑体"/>
        </w:rPr>
      </w:pPr>
      <w:r>
        <w:rPr>
          <w:rFonts w:hint="eastAsia" w:ascii="黑体" w:hAnsi="黑体" w:eastAsia="黑体" w:cs="黑体"/>
          <w:lang w:val="en-US" w:eastAsia="zh-CN"/>
        </w:rPr>
        <w:t>I.2.1</w:t>
      </w:r>
      <w:r>
        <w:rPr>
          <w:rFonts w:hint="eastAsia" w:ascii="黑体" w:hAnsi="黑体" w:eastAsia="黑体" w:cs="黑体"/>
        </w:rPr>
        <w:t>课程要求和考试比例</w:t>
      </w:r>
    </w:p>
    <w:p>
      <w:pPr>
        <w:pStyle w:val="51"/>
        <w:spacing w:after="156" w:afterLines="50" w:line="360" w:lineRule="auto"/>
        <w:ind w:firstLine="0" w:firstLineChars="0"/>
        <w:jc w:val="center"/>
        <w:rPr>
          <w:rFonts w:hint="eastAsia" w:ascii="黑体" w:hAnsi="黑体" w:eastAsia="黑体" w:cs="黑体"/>
        </w:rPr>
      </w:pPr>
      <w:r>
        <w:rPr>
          <w:rFonts w:hint="eastAsia" w:ascii="黑体" w:hAnsi="黑体" w:eastAsia="黑体" w:cs="黑体"/>
          <w:lang w:val="en-US" w:eastAsia="zh-CN"/>
        </w:rPr>
        <w:t xml:space="preserve">表I.1 </w:t>
      </w:r>
      <w:r>
        <w:rPr>
          <w:rFonts w:hint="eastAsia" w:ascii="黑体" w:hAnsi="黑体" w:eastAsia="黑体" w:cs="黑体"/>
        </w:rPr>
        <w:t>课程要求和考试比例</w:t>
      </w:r>
    </w:p>
    <w:tbl>
      <w:tblPr>
        <w:tblStyle w:val="21"/>
        <w:tblW w:w="9255"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1513"/>
        <w:gridCol w:w="204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课程名称</w:t>
            </w:r>
          </w:p>
        </w:tc>
        <w:tc>
          <w:tcPr>
            <w:tcW w:w="1513" w:type="dxa"/>
            <w:vAlign w:val="center"/>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课程类型</w:t>
            </w:r>
          </w:p>
        </w:tc>
        <w:tc>
          <w:tcPr>
            <w:tcW w:w="2040" w:type="dxa"/>
            <w:vAlign w:val="center"/>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选择范围</w:t>
            </w:r>
          </w:p>
        </w:tc>
        <w:tc>
          <w:tcPr>
            <w:tcW w:w="2580" w:type="dxa"/>
            <w:vAlign w:val="center"/>
          </w:tcPr>
          <w:p>
            <w:pPr>
              <w:pStyle w:val="51"/>
              <w:spacing w:line="360" w:lineRule="auto"/>
              <w:ind w:firstLine="0" w:firstLineChars="0"/>
              <w:jc w:val="center"/>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1513"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204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58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信息安全技术</w:t>
            </w:r>
          </w:p>
        </w:tc>
        <w:tc>
          <w:tcPr>
            <w:tcW w:w="1513"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204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58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通信技术基础</w:t>
            </w:r>
          </w:p>
        </w:tc>
        <w:tc>
          <w:tcPr>
            <w:tcW w:w="1513"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204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58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2" w:type="dxa"/>
            <w:vAlign w:val="center"/>
          </w:tcPr>
          <w:p>
            <w:pPr>
              <w:pStyle w:val="18"/>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网络安全应急响应</w:t>
            </w:r>
          </w:p>
        </w:tc>
        <w:tc>
          <w:tcPr>
            <w:tcW w:w="1513"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专业课程</w:t>
            </w:r>
          </w:p>
        </w:tc>
        <w:tc>
          <w:tcPr>
            <w:tcW w:w="2040" w:type="dxa"/>
            <w:vAlign w:val="center"/>
          </w:tcPr>
          <w:p>
            <w:pPr>
              <w:jc w:val="center"/>
              <w:rPr>
                <w:rFonts w:hint="eastAsia" w:ascii="宋体" w:hAnsi="宋体" w:eastAsia="宋体" w:cs="宋体"/>
                <w:sz w:val="18"/>
                <w:szCs w:val="18"/>
              </w:rPr>
            </w:pPr>
            <w:r>
              <w:rPr>
                <w:rFonts w:hint="eastAsia" w:ascii="宋体" w:hAnsi="宋体" w:eastAsia="宋体" w:cs="宋体"/>
                <w:color w:val="000000" w:themeColor="text1"/>
                <w:sz w:val="18"/>
                <w:szCs w:val="18"/>
                <w14:textFill>
                  <w14:solidFill>
                    <w14:schemeClr w14:val="tx1"/>
                  </w14:solidFill>
                </w14:textFill>
              </w:rPr>
              <w:t>全部</w:t>
            </w:r>
          </w:p>
        </w:tc>
        <w:tc>
          <w:tcPr>
            <w:tcW w:w="2580" w:type="dxa"/>
            <w:vAlign w:val="center"/>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50%</w:t>
            </w:r>
          </w:p>
        </w:tc>
      </w:tr>
    </w:tbl>
    <w:p>
      <w:pPr>
        <w:pStyle w:val="51"/>
        <w:keepNext w:val="0"/>
        <w:keepLines w:val="0"/>
        <w:pageBreakBefore w:val="0"/>
        <w:widowControl w:val="0"/>
        <w:kinsoku/>
        <w:wordWrap/>
        <w:overflowPunct/>
        <w:topLinePunct w:val="0"/>
        <w:autoSpaceDE/>
        <w:autoSpaceDN/>
        <w:bidi w:val="0"/>
        <w:adjustRightInd/>
        <w:snapToGrid/>
        <w:spacing w:before="160" w:beforeLines="50" w:line="360" w:lineRule="auto"/>
        <w:ind w:firstLine="0" w:firstLineChars="0"/>
        <w:textAlignment w:val="auto"/>
        <w:rPr>
          <w:rFonts w:hint="eastAsia" w:ascii="黑体" w:hAnsi="黑体" w:eastAsia="黑体" w:cs="黑体"/>
        </w:rPr>
      </w:pPr>
      <w:r>
        <w:rPr>
          <w:rFonts w:hint="eastAsia" w:ascii="黑体" w:hAnsi="黑体" w:eastAsia="黑体" w:cs="黑体"/>
          <w:lang w:val="en-US" w:eastAsia="zh-CN"/>
        </w:rPr>
        <w:t>I.3</w:t>
      </w:r>
      <w:r>
        <w:rPr>
          <w:rFonts w:hint="eastAsia" w:ascii="黑体" w:hAnsi="黑体" w:eastAsia="黑体" w:cs="黑体"/>
        </w:rPr>
        <w:t xml:space="preserve"> 各课程知识点要求</w:t>
      </w:r>
    </w:p>
    <w:p>
      <w:pPr>
        <w:pStyle w:val="51"/>
        <w:spacing w:after="156" w:afterLines="50" w:line="360" w:lineRule="auto"/>
        <w:ind w:left="0" w:leftChars="0" w:firstLine="0" w:firstLineChars="0"/>
        <w:rPr>
          <w:rFonts w:hint="eastAsia" w:ascii="黑体" w:hAnsi="黑体" w:eastAsia="黑体" w:cs="黑体"/>
        </w:rPr>
      </w:pPr>
      <w:r>
        <w:rPr>
          <w:rFonts w:hint="eastAsia" w:ascii="黑体" w:hAnsi="黑体" w:eastAsia="黑体" w:cs="黑体"/>
          <w:lang w:val="en-US" w:eastAsia="zh-CN"/>
        </w:rPr>
        <w:t xml:space="preserve">1.3.1 </w:t>
      </w:r>
      <w:r>
        <w:rPr>
          <w:rFonts w:hint="eastAsia" w:ascii="黑体" w:hAnsi="黑体" w:eastAsia="黑体" w:cs="黑体"/>
        </w:rPr>
        <w:t xml:space="preserve"> 项目管理基础</w:t>
      </w:r>
    </w:p>
    <w:p>
      <w:pPr>
        <w:pStyle w:val="51"/>
        <w:spacing w:after="156" w:afterLines="50" w:line="360" w:lineRule="auto"/>
        <w:ind w:left="0" w:leftChars="0" w:firstLine="0" w:firstLineChars="0"/>
        <w:jc w:val="center"/>
        <w:outlineLvl w:val="0"/>
        <w:rPr>
          <w:rFonts w:hint="eastAsia" w:ascii="黑体" w:hAnsi="黑体" w:eastAsia="黑体" w:cs="黑体"/>
          <w:lang w:val="en-US" w:eastAsia="zh-CN"/>
        </w:rPr>
      </w:pPr>
      <w:bookmarkStart w:id="82" w:name="_Toc25915"/>
      <w:r>
        <w:rPr>
          <w:rFonts w:hint="eastAsia" w:ascii="黑体" w:hAnsi="黑体" w:eastAsia="黑体" w:cs="黑体"/>
          <w:lang w:val="en-US" w:eastAsia="zh-CN"/>
        </w:rPr>
        <w:t>表I.2 项目管理基础课程内容与要求</w:t>
      </w:r>
      <w:bookmarkEnd w:id="82"/>
    </w:p>
    <w:tbl>
      <w:tblPr>
        <w:tblStyle w:val="21"/>
        <w:tblW w:w="918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48"/>
        <w:gridCol w:w="455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章节号</w:t>
            </w:r>
          </w:p>
        </w:tc>
        <w:tc>
          <w:tcPr>
            <w:tcW w:w="1848" w:type="dxa"/>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章节名</w:t>
            </w:r>
          </w:p>
        </w:tc>
        <w:tc>
          <w:tcPr>
            <w:tcW w:w="4555" w:type="dxa"/>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内容与要求</w:t>
            </w:r>
          </w:p>
        </w:tc>
        <w:tc>
          <w:tcPr>
            <w:tcW w:w="1847" w:type="dxa"/>
          </w:tcPr>
          <w:p>
            <w:pPr>
              <w:pStyle w:val="51"/>
              <w:spacing w:line="360" w:lineRule="auto"/>
              <w:ind w:firstLine="0" w:firstLineChars="0"/>
              <w:jc w:val="center"/>
              <w:rPr>
                <w:rFonts w:hint="eastAsia" w:ascii="黑体" w:hAnsi="黑体" w:eastAsia="黑体" w:cs="黑体"/>
                <w:sz w:val="20"/>
                <w:szCs w:val="20"/>
              </w:rPr>
            </w:pPr>
            <w:r>
              <w:rPr>
                <w:rFonts w:hint="eastAsia" w:ascii="黑体" w:hAnsi="黑体" w:eastAsia="黑体" w:cs="黑体"/>
                <w:sz w:val="20"/>
                <w:szCs w:val="20"/>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848" w:type="dxa"/>
            <w:vAlign w:val="center"/>
          </w:tcPr>
          <w:p>
            <w:pPr>
              <w:pStyle w:val="18"/>
              <w:jc w:val="both"/>
              <w:rPr>
                <w:rFonts w:hint="eastAsia" w:ascii="宋体" w:hAnsi="宋体" w:eastAsia="宋体" w:cs="宋体"/>
                <w:sz w:val="18"/>
                <w:szCs w:val="18"/>
              </w:rPr>
            </w:pPr>
            <w:r>
              <w:rPr>
                <w:rFonts w:hint="eastAsia" w:ascii="宋体" w:hAnsi="宋体" w:eastAsia="宋体" w:cs="宋体"/>
                <w:sz w:val="18"/>
                <w:szCs w:val="18"/>
              </w:rPr>
              <w:t xml:space="preserve">项目管理基本概念 </w:t>
            </w:r>
          </w:p>
          <w:p>
            <w:pPr>
              <w:pStyle w:val="51"/>
              <w:ind w:firstLine="0" w:firstLineChars="0"/>
              <w:jc w:val="both"/>
              <w:rPr>
                <w:rFonts w:hint="eastAsia" w:ascii="宋体" w:hAnsi="宋体" w:eastAsia="宋体" w:cs="宋体"/>
                <w:sz w:val="18"/>
                <w:szCs w:val="18"/>
              </w:rPr>
            </w:pPr>
          </w:p>
        </w:tc>
        <w:tc>
          <w:tcPr>
            <w:tcW w:w="4555"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正确理解项目的本质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正确理解管理的本质</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掌握项目管理的基本分类</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熟练掌握项目管理的生命周期与流程</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掌握项目管理相对其他管理的特性 </w:t>
            </w:r>
          </w:p>
        </w:tc>
        <w:tc>
          <w:tcPr>
            <w:tcW w:w="1847" w:type="dxa"/>
            <w:vMerge w:val="restart"/>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宋体" w:hAnsi="宋体" w:eastAsia="宋体" w:cs="宋体"/>
                <w:sz w:val="18"/>
                <w:szCs w:val="18"/>
              </w:rPr>
            </w:pPr>
            <w:r>
              <w:rPr>
                <w:rFonts w:hint="eastAsia" w:ascii="宋体" w:hAnsi="宋体" w:eastAsia="宋体" w:cs="宋体"/>
                <w:sz w:val="18"/>
                <w:szCs w:val="18"/>
              </w:rPr>
              <w:t>《信息安全保障人员认证考试辅 导丛书》</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宋体" w:hAnsi="宋体" w:eastAsia="宋体" w:cs="宋体"/>
                <w:sz w:val="18"/>
                <w:szCs w:val="18"/>
              </w:rPr>
            </w:pPr>
            <w:r>
              <w:rPr>
                <w:rFonts w:hint="eastAsia" w:ascii="宋体" w:hAnsi="宋体" w:eastAsia="宋体" w:cs="宋体"/>
                <w:sz w:val="18"/>
                <w:szCs w:val="18"/>
              </w:rPr>
              <w:t>2.各类项目管理期刊</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eastAsia" w:ascii="宋体" w:hAnsi="宋体" w:eastAsia="宋体" w:cs="宋体"/>
                <w:sz w:val="18"/>
                <w:szCs w:val="18"/>
              </w:rPr>
            </w:pPr>
            <w:r>
              <w:rPr>
                <w:rFonts w:hint="eastAsia" w:ascii="宋体" w:hAnsi="宋体" w:eastAsia="宋体" w:cs="宋体"/>
                <w:sz w:val="18"/>
                <w:szCs w:val="18"/>
              </w:rPr>
              <w:t>3.各类项目管理正式出 版文献 4.PMP 相关书籍 5.Pr</w:t>
            </w:r>
            <w:r>
              <w:rPr>
                <w:rFonts w:hint="eastAsia" w:ascii="宋体" w:hAnsi="宋体" w:eastAsia="宋体" w:cs="宋体"/>
                <w:sz w:val="18"/>
                <w:szCs w:val="18"/>
                <w:lang w:eastAsia="zh-CN"/>
              </w:rPr>
              <w:t>H</w:t>
            </w:r>
            <w:r>
              <w:rPr>
                <w:rFonts w:hint="eastAsia" w:ascii="宋体" w:hAnsi="宋体" w:eastAsia="宋体" w:cs="宋体"/>
                <w:sz w:val="18"/>
                <w:szCs w:val="18"/>
              </w:rPr>
              <w:t>nce2 相关书籍</w:t>
            </w:r>
          </w:p>
          <w:p>
            <w:pPr>
              <w:pStyle w:val="51"/>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848"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项目管理的发展历 史与现状 </w:t>
            </w:r>
          </w:p>
          <w:p>
            <w:pPr>
              <w:pStyle w:val="51"/>
              <w:ind w:firstLine="0" w:firstLineChars="0"/>
              <w:jc w:val="both"/>
              <w:rPr>
                <w:rFonts w:hint="eastAsia" w:ascii="宋体" w:hAnsi="宋体" w:eastAsia="宋体" w:cs="宋体"/>
                <w:sz w:val="18"/>
                <w:szCs w:val="18"/>
              </w:rPr>
            </w:pPr>
          </w:p>
        </w:tc>
        <w:tc>
          <w:tcPr>
            <w:tcW w:w="4555"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了解项目管理的发展过程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了解国际项目管理发展现状 </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了解国际国内项目管理人员认证情</w:t>
            </w:r>
          </w:p>
        </w:tc>
        <w:tc>
          <w:tcPr>
            <w:tcW w:w="1847" w:type="dxa"/>
            <w:vMerge w:val="continue"/>
          </w:tcPr>
          <w:p>
            <w:pPr>
              <w:pStyle w:val="51"/>
              <w:ind w:firstLine="0" w:firstLineChars="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848"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九大项目管理知识领域 </w:t>
            </w:r>
          </w:p>
          <w:p>
            <w:pPr>
              <w:pStyle w:val="53"/>
              <w:ind w:firstLine="0" w:firstLineChars="0"/>
              <w:jc w:val="both"/>
              <w:rPr>
                <w:rFonts w:hint="eastAsia" w:ascii="宋体" w:hAnsi="宋体" w:eastAsia="宋体" w:cs="宋体"/>
                <w:sz w:val="18"/>
                <w:szCs w:val="18"/>
              </w:rPr>
            </w:pPr>
          </w:p>
        </w:tc>
        <w:tc>
          <w:tcPr>
            <w:tcW w:w="4555"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熟练掌握项目综合管理、项目范围管理、 项目时间管理、项目成本管理、项目质量 管理、项目人力资源 管理、项目沟通管理、 项目风险管理和项目 采购管理思想与方法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掌握项目综合管理、 项目范围管理、项目 时间管理、项目成本管理、项目质量管理、 项目人力资源管理、 项目沟通管理、项目风险管理和项目采购管理工具和实施技巧 </w:t>
            </w:r>
          </w:p>
        </w:tc>
        <w:tc>
          <w:tcPr>
            <w:tcW w:w="1847" w:type="dxa"/>
            <w:vMerge w:val="continue"/>
          </w:tcPr>
          <w:p>
            <w:pPr>
              <w:pStyle w:val="51"/>
              <w:ind w:firstLine="0" w:firstLineChars="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848"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开发类项目管理技巧</w:t>
            </w:r>
          </w:p>
        </w:tc>
        <w:tc>
          <w:tcPr>
            <w:tcW w:w="4555"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掌握开发类项目管理的特点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掌握开发类项目生命周期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正确掌握开发类项目九大管理知识领域特性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实践一个完整的开发类项目过程 </w:t>
            </w:r>
          </w:p>
        </w:tc>
        <w:tc>
          <w:tcPr>
            <w:tcW w:w="1847" w:type="dxa"/>
            <w:vMerge w:val="continue"/>
          </w:tcPr>
          <w:p>
            <w:pPr>
              <w:pStyle w:val="51"/>
              <w:ind w:firstLine="0" w:firstLineChars="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848"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集成类项目管理技巧 </w:t>
            </w:r>
          </w:p>
          <w:p>
            <w:pPr>
              <w:pStyle w:val="53"/>
              <w:ind w:firstLine="0" w:firstLineChars="0"/>
              <w:jc w:val="both"/>
              <w:rPr>
                <w:rFonts w:hint="eastAsia" w:ascii="宋体" w:hAnsi="宋体" w:eastAsia="宋体" w:cs="宋体"/>
                <w:sz w:val="18"/>
                <w:szCs w:val="18"/>
              </w:rPr>
            </w:pPr>
          </w:p>
        </w:tc>
        <w:tc>
          <w:tcPr>
            <w:tcW w:w="4555"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掌握集成类项目管理的特点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掌握集成类项目生命周期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掌握集成类项目九大管理知识领域特性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实践一个完整的集成 </w:t>
            </w:r>
          </w:p>
        </w:tc>
        <w:tc>
          <w:tcPr>
            <w:tcW w:w="1847" w:type="dxa"/>
            <w:vMerge w:val="continue"/>
          </w:tcPr>
          <w:p>
            <w:pPr>
              <w:pStyle w:val="51"/>
              <w:ind w:firstLine="0" w:firstLineChars="0"/>
              <w:rPr>
                <w:rFonts w:hint="eastAsia" w:ascii="宋体" w:hAnsi="宋体" w:eastAsia="宋体" w:cs="宋体"/>
                <w:sz w:val="18"/>
                <w:szCs w:val="18"/>
              </w:rPr>
            </w:pPr>
          </w:p>
        </w:tc>
      </w:tr>
    </w:tbl>
    <w:p>
      <w:pPr>
        <w:pStyle w:val="51"/>
        <w:ind w:left="380" w:firstLine="0" w:firstLineChars="0"/>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outlineLvl w:val="0"/>
        <w:rPr>
          <w:rFonts w:hint="eastAsia" w:ascii="黑体" w:hAnsi="黑体" w:eastAsia="黑体" w:cs="黑体"/>
        </w:rPr>
      </w:pPr>
      <w:bookmarkStart w:id="83" w:name="_Toc15565"/>
      <w:r>
        <w:rPr>
          <w:rFonts w:hint="eastAsia" w:ascii="黑体" w:hAnsi="黑体" w:eastAsia="黑体" w:cs="黑体"/>
          <w:lang w:val="en-US" w:eastAsia="zh-CN"/>
        </w:rPr>
        <w:t xml:space="preserve">1.3.2 </w:t>
      </w:r>
      <w:r>
        <w:rPr>
          <w:rFonts w:hint="eastAsia" w:ascii="黑体" w:hAnsi="黑体" w:eastAsia="黑体" w:cs="黑体"/>
        </w:rPr>
        <w:t xml:space="preserve"> </w:t>
      </w:r>
      <w:r>
        <w:rPr>
          <w:rFonts w:hint="eastAsia" w:ascii="黑体" w:hAnsi="黑体" w:eastAsia="黑体" w:cs="黑体"/>
          <w:color w:val="000000"/>
        </w:rPr>
        <w:t xml:space="preserve"> </w:t>
      </w:r>
      <w:r>
        <w:rPr>
          <w:rFonts w:hint="eastAsia" w:ascii="黑体" w:hAnsi="黑体" w:eastAsia="黑体" w:cs="黑体"/>
        </w:rPr>
        <w:t>信息安全技术</w:t>
      </w:r>
      <w:bookmarkEnd w:id="83"/>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outlineLvl w:val="0"/>
        <w:rPr>
          <w:rFonts w:hint="default" w:ascii="黑体" w:hAnsi="黑体" w:eastAsia="黑体" w:cs="黑体"/>
          <w:lang w:val="en-US" w:eastAsia="zh-CN"/>
        </w:rPr>
      </w:pPr>
      <w:bookmarkStart w:id="84" w:name="_Toc26220"/>
      <w:r>
        <w:rPr>
          <w:rFonts w:hint="eastAsia" w:ascii="黑体" w:hAnsi="黑体" w:eastAsia="黑体" w:cs="黑体"/>
          <w:lang w:eastAsia="zh-CN"/>
        </w:rPr>
        <w:t>表</w:t>
      </w:r>
      <w:r>
        <w:rPr>
          <w:rFonts w:hint="eastAsia" w:ascii="黑体" w:hAnsi="黑体" w:eastAsia="黑体" w:cs="黑体"/>
          <w:lang w:val="en-US" w:eastAsia="zh-CN"/>
        </w:rPr>
        <w:t>I.3 信息安全技术课程内容与要求</w:t>
      </w:r>
      <w:bookmarkEnd w:id="84"/>
    </w:p>
    <w:tbl>
      <w:tblPr>
        <w:tblStyle w:val="21"/>
        <w:tblW w:w="9045"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549"/>
        <w:gridCol w:w="458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549"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586"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92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密码学基础</w:t>
            </w:r>
          </w:p>
        </w:tc>
        <w:tc>
          <w:tcPr>
            <w:tcW w:w="4586"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了解密码学发展简史和基本概念</w:t>
            </w:r>
          </w:p>
          <w:p>
            <w:pPr>
              <w:jc w:val="left"/>
              <w:rPr>
                <w:rFonts w:hint="eastAsia" w:ascii="宋体" w:hAnsi="宋体" w:eastAsia="宋体" w:cs="宋体"/>
                <w:sz w:val="18"/>
                <w:szCs w:val="18"/>
              </w:rPr>
            </w:pPr>
            <w:r>
              <w:rPr>
                <w:rFonts w:hint="eastAsia" w:ascii="宋体" w:hAnsi="宋体" w:eastAsia="宋体" w:cs="宋体"/>
                <w:sz w:val="18"/>
                <w:szCs w:val="18"/>
              </w:rPr>
              <w:t>掌握密码学算法知识，如对称密码算法、非对称密码算法、哈希函数和数字签名算法</w:t>
            </w:r>
          </w:p>
        </w:tc>
        <w:tc>
          <w:tcPr>
            <w:tcW w:w="1920" w:type="dxa"/>
            <w:vMerge w:val="restart"/>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密码学应用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了解密码学应用基础</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了解公钥基础设施</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掌握虚拟专用网络知识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了解特权管理基础设施</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掌握其他密码应用知识</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鉴别和访问控制</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掌握鉴别的类型、访问控制模型、访问控制技术</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操作系统安全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掌握w</w:t>
            </w:r>
            <w:r>
              <w:rPr>
                <w:rFonts w:hint="eastAsia" w:ascii="宋体" w:hAnsi="宋体" w:eastAsia="宋体" w:cs="宋体"/>
                <w:sz w:val="18"/>
                <w:szCs w:val="18"/>
                <w:lang w:eastAsia="zh-CN"/>
              </w:rPr>
              <w:t>H</w:t>
            </w:r>
            <w:r>
              <w:rPr>
                <w:rFonts w:hint="eastAsia" w:ascii="宋体" w:hAnsi="宋体" w:eastAsia="宋体" w:cs="宋体"/>
                <w:sz w:val="18"/>
                <w:szCs w:val="18"/>
              </w:rPr>
              <w:t>ndows系统安全机制相关知识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掌握L</w:t>
            </w:r>
            <w:r>
              <w:rPr>
                <w:rFonts w:hint="eastAsia" w:ascii="宋体" w:hAnsi="宋体" w:eastAsia="宋体" w:cs="宋体"/>
                <w:sz w:val="18"/>
                <w:szCs w:val="18"/>
                <w:lang w:eastAsia="zh-CN"/>
              </w:rPr>
              <w:t>H</w:t>
            </w:r>
            <w:r>
              <w:rPr>
                <w:rFonts w:hint="eastAsia" w:ascii="宋体" w:hAnsi="宋体" w:eastAsia="宋体" w:cs="宋体"/>
                <w:sz w:val="18"/>
                <w:szCs w:val="18"/>
              </w:rPr>
              <w:t>nux系统安全机制相关知识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掌握安全操作系统设计原则</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网络安全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掌握网络安全协议、网络安全设备、网络架构安全知识</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数据库安全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了解数据库系统概念</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掌握数据库安全知识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掌握数据库安全防护方法</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7</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应用安全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了解应用安全概念</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掌握web应用安全、互联网服务安全、办公软件安全等知识</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8</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安全漏洞和恶意代码</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了解安全漏洞的产生和发展</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掌握安全漏洞发现和修复知识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掌握恶意代码的产生和发展、实现技术、防御技术</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9</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安全攻击和防护</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了解信息收集和分析的作用、方法和防范</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了解常见攻击和防范</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掌握后门设置与防范、痕迹清除和防范</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10</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软件安全开发</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熟悉软件安全开发背景</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掌握软件开发模型知识</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掌握软件安全需求和设计</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掌握软件安全测试方法</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11</w:t>
            </w:r>
          </w:p>
        </w:tc>
        <w:tc>
          <w:tcPr>
            <w:tcW w:w="1549"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新技术安全</w:t>
            </w:r>
          </w:p>
        </w:tc>
        <w:tc>
          <w:tcPr>
            <w:tcW w:w="4586"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掌握云计算安全、物联网安全、工业控制安全等知识</w:t>
            </w:r>
          </w:p>
        </w:tc>
        <w:tc>
          <w:tcPr>
            <w:tcW w:w="1920" w:type="dxa"/>
            <w:vMerge w:val="continue"/>
            <w:vAlign w:val="center"/>
          </w:tcPr>
          <w:p>
            <w:pPr>
              <w:pStyle w:val="53"/>
              <w:ind w:firstLine="0" w:firstLineChars="0"/>
              <w:jc w:val="center"/>
              <w:rPr>
                <w:rFonts w:hint="eastAsia" w:ascii="宋体" w:hAnsi="宋体" w:eastAsia="宋体" w:cs="宋体"/>
                <w:sz w:val="18"/>
                <w:szCs w:val="18"/>
              </w:rPr>
            </w:pPr>
          </w:p>
        </w:tc>
      </w:tr>
    </w:tbl>
    <w:p>
      <w:pPr>
        <w:pStyle w:val="53"/>
        <w:ind w:firstLine="0" w:firstLineChars="0"/>
        <w:rPr>
          <w:rFonts w:ascii="宋体" w:hAnsi="宋体"/>
        </w:rPr>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outlineLvl w:val="0"/>
        <w:rPr>
          <w:rFonts w:hint="eastAsia" w:ascii="黑体" w:hAnsi="黑体" w:eastAsia="黑体" w:cs="黑体"/>
          <w:color w:val="000000"/>
        </w:rPr>
      </w:pPr>
      <w:bookmarkStart w:id="85" w:name="_Toc13758"/>
      <w:r>
        <w:rPr>
          <w:rFonts w:hint="eastAsia" w:ascii="黑体" w:hAnsi="黑体" w:eastAsia="黑体" w:cs="黑体"/>
          <w:lang w:val="en-US" w:eastAsia="zh-CN"/>
        </w:rPr>
        <w:t>1.3.3</w:t>
      </w:r>
      <w:r>
        <w:rPr>
          <w:rFonts w:hint="eastAsia" w:ascii="黑体" w:hAnsi="黑体" w:eastAsia="黑体" w:cs="黑体"/>
          <w:color w:val="000000"/>
        </w:rPr>
        <w:t xml:space="preserve"> 通讯技术基础</w:t>
      </w:r>
      <w:bookmarkEnd w:id="85"/>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outlineLvl w:val="0"/>
        <w:rPr>
          <w:rFonts w:hint="eastAsia" w:ascii="黑体" w:hAnsi="黑体" w:eastAsia="黑体" w:cs="黑体"/>
          <w:color w:val="000000"/>
          <w:lang w:val="en-US" w:eastAsia="zh-CN"/>
        </w:rPr>
      </w:pPr>
      <w:bookmarkStart w:id="86" w:name="_Toc2986"/>
      <w:r>
        <w:rPr>
          <w:rFonts w:hint="eastAsia" w:ascii="黑体" w:hAnsi="黑体" w:eastAsia="黑体" w:cs="黑体"/>
          <w:color w:val="000000"/>
          <w:lang w:eastAsia="zh-CN"/>
        </w:rPr>
        <w:t>表</w:t>
      </w:r>
      <w:r>
        <w:rPr>
          <w:rFonts w:hint="eastAsia" w:ascii="黑体" w:hAnsi="黑体" w:eastAsia="黑体" w:cs="黑体"/>
          <w:color w:val="000000"/>
          <w:lang w:val="en-US" w:eastAsia="zh-CN"/>
        </w:rPr>
        <w:t xml:space="preserve">I.4 </w:t>
      </w:r>
      <w:r>
        <w:rPr>
          <w:rFonts w:hint="eastAsia" w:ascii="黑体" w:hAnsi="黑体" w:eastAsia="黑体" w:cs="黑体"/>
          <w:color w:val="000000"/>
        </w:rPr>
        <w:t>通讯技术基础</w:t>
      </w:r>
      <w:r>
        <w:rPr>
          <w:rFonts w:hint="eastAsia" w:ascii="黑体" w:hAnsi="黑体" w:eastAsia="黑体" w:cs="黑体"/>
          <w:color w:val="000000"/>
          <w:lang w:eastAsia="zh-CN"/>
        </w:rPr>
        <w:t>课程内容与要求</w:t>
      </w:r>
      <w:bookmarkEnd w:id="86"/>
    </w:p>
    <w:tbl>
      <w:tblPr>
        <w:tblStyle w:val="21"/>
        <w:tblW w:w="930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847"/>
        <w:gridCol w:w="454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3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847"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543"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98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930" w:type="dxa"/>
            <w:vAlign w:val="center"/>
          </w:tcPr>
          <w:p>
            <w:pPr>
              <w:pStyle w:val="53"/>
              <w:ind w:firstLine="0" w:firstLineChars="0"/>
              <w:jc w:val="center"/>
              <w:rPr>
                <w:rFonts w:hint="eastAsia" w:ascii="黑体" w:hAnsi="黑体" w:eastAsia="黑体" w:cs="黑体"/>
                <w:sz w:val="18"/>
                <w:szCs w:val="18"/>
              </w:rPr>
            </w:pPr>
            <w:r>
              <w:rPr>
                <w:rFonts w:hint="eastAsia" w:ascii="黑体" w:hAnsi="黑体" w:eastAsia="黑体" w:cs="黑体"/>
                <w:sz w:val="18"/>
                <w:szCs w:val="18"/>
              </w:rPr>
              <w:t>1</w:t>
            </w:r>
          </w:p>
        </w:tc>
        <w:tc>
          <w:tcPr>
            <w:tcW w:w="1847"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通信的基本概念</w:t>
            </w:r>
          </w:p>
          <w:p>
            <w:pPr>
              <w:pStyle w:val="53"/>
              <w:ind w:firstLine="0" w:firstLineChars="0"/>
              <w:jc w:val="left"/>
              <w:rPr>
                <w:rFonts w:hint="eastAsia" w:ascii="宋体" w:hAnsi="宋体" w:eastAsia="宋体" w:cs="宋体"/>
                <w:sz w:val="18"/>
                <w:szCs w:val="18"/>
              </w:rPr>
            </w:pPr>
          </w:p>
        </w:tc>
        <w:tc>
          <w:tcPr>
            <w:tcW w:w="4543"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理解通信的本质含义及电信概念</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理解通信网络形成过程</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了解通信网络结构</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了解通信网络中的安全属性</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了解通信网络应用分类</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了解“网络”习惯分类</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了解通信网络安全问题本质成因</w:t>
            </w:r>
          </w:p>
        </w:tc>
        <w:tc>
          <w:tcPr>
            <w:tcW w:w="1980" w:type="dxa"/>
            <w:vMerge w:val="restart"/>
            <w:vAlign w:val="center"/>
          </w:tcPr>
          <w:p>
            <w:pPr>
              <w:pStyle w:val="53"/>
              <w:ind w:firstLine="0" w:firstLineChars="0"/>
              <w:jc w:val="both"/>
              <w:rPr>
                <w:rFonts w:hint="eastAsia" w:ascii="黑体" w:hAnsi="黑体" w:eastAsia="黑体" w:cs="黑体"/>
                <w:sz w:val="18"/>
                <w:szCs w:val="18"/>
              </w:rPr>
            </w:pPr>
            <w:r>
              <w:rPr>
                <w:rFonts w:hint="eastAsia" w:ascii="黑体" w:hAnsi="黑体" w:eastAsia="黑体" w:cs="黑体"/>
                <w:sz w:val="18"/>
                <w:szCs w:val="18"/>
              </w:rPr>
              <w:t>《通信技术基础》</w:t>
            </w:r>
          </w:p>
          <w:p>
            <w:pPr>
              <w:pStyle w:val="53"/>
              <w:ind w:firstLine="0" w:firstLineChars="0"/>
              <w:jc w:val="both"/>
              <w:rPr>
                <w:rFonts w:hint="eastAsia" w:ascii="黑体" w:hAnsi="黑体" w:eastAsia="黑体" w:cs="黑体"/>
                <w:sz w:val="18"/>
                <w:szCs w:val="18"/>
              </w:rPr>
            </w:pPr>
            <w:r>
              <w:rPr>
                <w:rFonts w:hint="eastAsia" w:ascii="黑体" w:hAnsi="黑体" w:eastAsia="黑体" w:cs="黑体"/>
                <w:sz w:val="18"/>
                <w:szCs w:val="18"/>
              </w:rPr>
              <w:t>各类通信原理相关书籍</w:t>
            </w:r>
          </w:p>
          <w:p>
            <w:pPr>
              <w:pStyle w:val="53"/>
              <w:ind w:firstLine="0" w:firstLineChars="0"/>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930" w:type="dxa"/>
            <w:vAlign w:val="center"/>
          </w:tcPr>
          <w:p>
            <w:pPr>
              <w:pStyle w:val="53"/>
              <w:ind w:firstLine="0" w:firstLineChars="0"/>
              <w:jc w:val="center"/>
              <w:rPr>
                <w:rFonts w:hint="eastAsia" w:ascii="黑体" w:hAnsi="黑体" w:eastAsia="黑体" w:cs="黑体"/>
                <w:sz w:val="18"/>
                <w:szCs w:val="18"/>
              </w:rPr>
            </w:pPr>
            <w:r>
              <w:rPr>
                <w:rFonts w:hint="eastAsia" w:ascii="黑体" w:hAnsi="黑体" w:eastAsia="黑体" w:cs="黑体"/>
                <w:sz w:val="18"/>
                <w:szCs w:val="18"/>
              </w:rPr>
              <w:t>2</w:t>
            </w:r>
          </w:p>
        </w:tc>
        <w:tc>
          <w:tcPr>
            <w:tcW w:w="1847"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通信协议及应用</w:t>
            </w:r>
          </w:p>
          <w:p>
            <w:pPr>
              <w:pStyle w:val="53"/>
              <w:ind w:firstLine="0" w:firstLineChars="0"/>
              <w:jc w:val="left"/>
              <w:rPr>
                <w:rFonts w:hint="eastAsia" w:ascii="宋体" w:hAnsi="宋体" w:eastAsia="宋体" w:cs="宋体"/>
                <w:sz w:val="18"/>
                <w:szCs w:val="18"/>
              </w:rPr>
            </w:pPr>
          </w:p>
        </w:tc>
        <w:tc>
          <w:tcPr>
            <w:tcW w:w="4543"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熟悉 OS</w:t>
            </w:r>
            <w:r>
              <w:rPr>
                <w:rFonts w:hint="eastAsia" w:ascii="宋体" w:hAnsi="宋体" w:eastAsia="宋体" w:cs="宋体"/>
                <w:sz w:val="18"/>
                <w:szCs w:val="18"/>
                <w:lang w:eastAsia="zh-CN"/>
              </w:rPr>
              <w:t>H</w:t>
            </w:r>
            <w:r>
              <w:rPr>
                <w:rFonts w:hint="eastAsia" w:ascii="宋体" w:hAnsi="宋体" w:eastAsia="宋体" w:cs="宋体"/>
                <w:sz w:val="18"/>
                <w:szCs w:val="18"/>
              </w:rPr>
              <w:t xml:space="preserve"> 七层模型</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熟悉 TCP/</w:t>
            </w:r>
            <w:r>
              <w:rPr>
                <w:rFonts w:hint="eastAsia" w:ascii="宋体" w:hAnsi="宋体" w:eastAsia="宋体" w:cs="宋体"/>
                <w:sz w:val="18"/>
                <w:szCs w:val="18"/>
                <w:lang w:eastAsia="zh-CN"/>
              </w:rPr>
              <w:t>H</w:t>
            </w:r>
            <w:r>
              <w:rPr>
                <w:rFonts w:hint="eastAsia" w:ascii="宋体" w:hAnsi="宋体" w:eastAsia="宋体" w:cs="宋体"/>
                <w:sz w:val="18"/>
                <w:szCs w:val="18"/>
              </w:rPr>
              <w:t>P 协议族的基本协议及</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TCP/</w:t>
            </w:r>
            <w:r>
              <w:rPr>
                <w:rFonts w:hint="eastAsia" w:ascii="宋体" w:hAnsi="宋体" w:eastAsia="宋体" w:cs="宋体"/>
                <w:sz w:val="18"/>
                <w:szCs w:val="18"/>
                <w:lang w:eastAsia="zh-CN"/>
              </w:rPr>
              <w:t>H</w:t>
            </w:r>
            <w:r>
              <w:rPr>
                <w:rFonts w:hint="eastAsia" w:ascii="宋体" w:hAnsi="宋体" w:eastAsia="宋体" w:cs="宋体"/>
                <w:sz w:val="18"/>
                <w:szCs w:val="18"/>
              </w:rPr>
              <w:t>P 协议族存在的固有安全问题</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 xml:space="preserve">熟悉 </w:t>
            </w:r>
            <w:r>
              <w:rPr>
                <w:rFonts w:hint="eastAsia" w:ascii="宋体" w:hAnsi="宋体" w:eastAsia="宋体" w:cs="宋体"/>
                <w:sz w:val="18"/>
                <w:szCs w:val="18"/>
                <w:lang w:eastAsia="zh-CN"/>
              </w:rPr>
              <w:t>H</w:t>
            </w:r>
            <w:r>
              <w:rPr>
                <w:rFonts w:hint="eastAsia" w:ascii="宋体" w:hAnsi="宋体" w:eastAsia="宋体" w:cs="宋体"/>
                <w:sz w:val="18"/>
                <w:szCs w:val="18"/>
              </w:rPr>
              <w:t>Pv6、移动互联网等技术及应用</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了解典型的通信网络及设备</w:t>
            </w:r>
          </w:p>
        </w:tc>
        <w:tc>
          <w:tcPr>
            <w:tcW w:w="1980" w:type="dxa"/>
            <w:vMerge w:val="continue"/>
            <w:vAlign w:val="center"/>
          </w:tcPr>
          <w:p>
            <w:pPr>
              <w:pStyle w:val="53"/>
              <w:ind w:firstLine="0" w:firstLineChars="0"/>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930" w:type="dxa"/>
            <w:vAlign w:val="center"/>
          </w:tcPr>
          <w:p>
            <w:pPr>
              <w:pStyle w:val="53"/>
              <w:ind w:firstLine="0" w:firstLineChars="0"/>
              <w:jc w:val="center"/>
              <w:rPr>
                <w:rFonts w:hint="eastAsia" w:ascii="黑体" w:hAnsi="黑体" w:eastAsia="黑体" w:cs="黑体"/>
                <w:sz w:val="18"/>
                <w:szCs w:val="18"/>
              </w:rPr>
            </w:pPr>
            <w:r>
              <w:rPr>
                <w:rFonts w:hint="eastAsia" w:ascii="黑体" w:hAnsi="黑体" w:eastAsia="黑体" w:cs="黑体"/>
                <w:sz w:val="18"/>
                <w:szCs w:val="18"/>
              </w:rPr>
              <w:t>3</w:t>
            </w:r>
          </w:p>
        </w:tc>
        <w:tc>
          <w:tcPr>
            <w:tcW w:w="1847"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安全通信协议</w:t>
            </w:r>
          </w:p>
          <w:p>
            <w:pPr>
              <w:pStyle w:val="53"/>
              <w:ind w:firstLine="0" w:firstLineChars="0"/>
              <w:jc w:val="left"/>
              <w:rPr>
                <w:rFonts w:hint="eastAsia" w:ascii="宋体" w:hAnsi="宋体" w:eastAsia="宋体" w:cs="宋体"/>
                <w:sz w:val="18"/>
                <w:szCs w:val="18"/>
              </w:rPr>
            </w:pPr>
          </w:p>
        </w:tc>
        <w:tc>
          <w:tcPr>
            <w:tcW w:w="4543"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了解典型的安全通信协议</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了解典型的安全通信协议在通信过程中的应用</w:t>
            </w:r>
          </w:p>
        </w:tc>
        <w:tc>
          <w:tcPr>
            <w:tcW w:w="1980" w:type="dxa"/>
            <w:vMerge w:val="continue"/>
            <w:vAlign w:val="center"/>
          </w:tcPr>
          <w:p>
            <w:pPr>
              <w:pStyle w:val="53"/>
              <w:ind w:firstLine="0" w:firstLineChars="0"/>
              <w:jc w:val="center"/>
              <w:rPr>
                <w:rFonts w:hint="eastAsia" w:ascii="黑体" w:hAnsi="黑体" w:eastAsia="黑体" w:cs="黑体"/>
                <w:sz w:val="18"/>
                <w:szCs w:val="18"/>
              </w:rPr>
            </w:pPr>
          </w:p>
        </w:tc>
      </w:tr>
    </w:tbl>
    <w:p>
      <w:pPr>
        <w:pStyle w:val="53"/>
        <w:ind w:firstLine="0" w:firstLineChars="0"/>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outlineLvl w:val="0"/>
        <w:rPr>
          <w:rFonts w:hint="eastAsia" w:ascii="黑体" w:hAnsi="黑体" w:eastAsia="黑体" w:cs="黑体"/>
          <w:color w:val="000000"/>
        </w:rPr>
      </w:pPr>
      <w:bookmarkStart w:id="87" w:name="_Toc1263"/>
      <w:r>
        <w:rPr>
          <w:rFonts w:hint="eastAsia" w:ascii="黑体" w:hAnsi="黑体" w:eastAsia="黑体" w:cs="黑体"/>
          <w:lang w:val="en-US" w:eastAsia="zh-CN"/>
        </w:rPr>
        <w:t>1.3.4</w:t>
      </w:r>
      <w:r>
        <w:rPr>
          <w:rFonts w:hint="eastAsia" w:ascii="黑体" w:hAnsi="黑体" w:eastAsia="黑体" w:cs="黑体"/>
          <w:color w:val="000000"/>
        </w:rPr>
        <w:t xml:space="preserve"> 网络安全应急响应</w:t>
      </w:r>
      <w:bookmarkEnd w:id="87"/>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jc w:val="center"/>
        <w:textAlignment w:val="auto"/>
        <w:outlineLvl w:val="0"/>
        <w:rPr>
          <w:rFonts w:hint="eastAsia" w:ascii="黑体" w:hAnsi="黑体" w:eastAsia="黑体" w:cs="黑体"/>
          <w:b/>
          <w:bCs/>
          <w:color w:val="000000"/>
          <w:lang w:val="en-US" w:eastAsia="zh-CN"/>
        </w:rPr>
      </w:pPr>
      <w:bookmarkStart w:id="88" w:name="_Toc5105"/>
      <w:r>
        <w:rPr>
          <w:rFonts w:hint="eastAsia" w:ascii="黑体" w:hAnsi="黑体" w:eastAsia="黑体" w:cs="黑体"/>
          <w:color w:val="000000"/>
          <w:lang w:eastAsia="zh-CN"/>
        </w:rPr>
        <w:t>表</w:t>
      </w:r>
      <w:r>
        <w:rPr>
          <w:rFonts w:hint="eastAsia" w:ascii="黑体" w:hAnsi="黑体" w:eastAsia="黑体" w:cs="黑体"/>
          <w:color w:val="000000"/>
          <w:lang w:val="en-US" w:eastAsia="zh-CN"/>
        </w:rPr>
        <w:t xml:space="preserve">I.5 </w:t>
      </w:r>
      <w:r>
        <w:rPr>
          <w:rFonts w:hint="eastAsia" w:ascii="黑体" w:hAnsi="黑体" w:eastAsia="黑体" w:cs="黑体"/>
          <w:color w:val="000000"/>
        </w:rPr>
        <w:t>网络安全应急响应</w:t>
      </w:r>
      <w:r>
        <w:rPr>
          <w:rFonts w:hint="eastAsia" w:ascii="黑体" w:hAnsi="黑体" w:eastAsia="黑体" w:cs="黑体"/>
          <w:color w:val="000000"/>
          <w:lang w:eastAsia="zh-CN"/>
        </w:rPr>
        <w:t>课程内容与要求</w:t>
      </w:r>
      <w:bookmarkEnd w:id="88"/>
    </w:p>
    <w:tbl>
      <w:tblPr>
        <w:tblStyle w:val="21"/>
        <w:tblW w:w="931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47"/>
        <w:gridCol w:w="4781"/>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847"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781"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727"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847"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网络安全应急响应技术概念</w:t>
            </w:r>
          </w:p>
          <w:p>
            <w:pPr>
              <w:pStyle w:val="53"/>
              <w:ind w:firstLine="0" w:firstLineChars="0"/>
              <w:jc w:val="left"/>
              <w:rPr>
                <w:rFonts w:hint="eastAsia" w:ascii="宋体" w:hAnsi="宋体" w:eastAsia="宋体" w:cs="宋体"/>
                <w:sz w:val="18"/>
                <w:szCs w:val="18"/>
              </w:rPr>
            </w:pPr>
          </w:p>
        </w:tc>
        <w:tc>
          <w:tcPr>
            <w:tcW w:w="4781" w:type="dxa"/>
            <w:vAlign w:val="center"/>
          </w:tcPr>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了解网络安全应急响应的含义和相关法规</w:t>
            </w:r>
          </w:p>
          <w:p>
            <w:pPr>
              <w:jc w:val="left"/>
              <w:rPr>
                <w:rFonts w:hint="eastAsia" w:ascii="宋体" w:hAnsi="宋体" w:eastAsia="宋体" w:cs="宋体"/>
                <w:sz w:val="18"/>
                <w:szCs w:val="18"/>
              </w:rPr>
            </w:pPr>
            <w:r>
              <w:rPr>
                <w:rFonts w:hint="eastAsia" w:ascii="宋体" w:hAnsi="宋体" w:eastAsia="宋体" w:cs="宋体"/>
                <w:sz w:val="18"/>
                <w:szCs w:val="18"/>
              </w:rPr>
              <w:t>了解网络安全应急响应技术的发展趋势</w:t>
            </w:r>
          </w:p>
          <w:p>
            <w:pPr>
              <w:jc w:val="left"/>
              <w:rPr>
                <w:rFonts w:hint="eastAsia" w:ascii="宋体" w:hAnsi="宋体" w:eastAsia="宋体" w:cs="宋体"/>
                <w:sz w:val="18"/>
                <w:szCs w:val="18"/>
              </w:rPr>
            </w:pPr>
            <w:r>
              <w:rPr>
                <w:rFonts w:hint="eastAsia" w:ascii="宋体" w:hAnsi="宋体" w:eastAsia="宋体" w:cs="宋体"/>
                <w:sz w:val="18"/>
                <w:szCs w:val="18"/>
              </w:rPr>
              <w:t>了解网络安全应急响应技术框架</w:t>
            </w:r>
          </w:p>
          <w:p>
            <w:pPr>
              <w:jc w:val="left"/>
              <w:rPr>
                <w:rFonts w:hint="eastAsia" w:ascii="宋体" w:hAnsi="宋体" w:eastAsia="宋体" w:cs="宋体"/>
                <w:sz w:val="18"/>
                <w:szCs w:val="18"/>
              </w:rPr>
            </w:pPr>
            <w:r>
              <w:rPr>
                <w:rFonts w:hint="eastAsia" w:ascii="宋体" w:hAnsi="宋体" w:eastAsia="宋体" w:cs="宋体"/>
                <w:sz w:val="18"/>
                <w:szCs w:val="18"/>
              </w:rPr>
              <w:t>了解网络安全应急响应新发展</w:t>
            </w:r>
          </w:p>
        </w:tc>
        <w:tc>
          <w:tcPr>
            <w:tcW w:w="1727" w:type="dxa"/>
            <w:vMerge w:val="restart"/>
            <w:vAlign w:val="center"/>
          </w:tcPr>
          <w:p>
            <w:pPr>
              <w:pStyle w:val="53"/>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《网络安全应急响应》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847"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网络安全应急响应技术基础知识</w:t>
            </w:r>
          </w:p>
        </w:tc>
        <w:tc>
          <w:tcPr>
            <w:tcW w:w="478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掌握风险评估相关概念、流程</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了解风险评估与应急响应的关系</w:t>
            </w:r>
          </w:p>
          <w:p>
            <w:pPr>
              <w:pStyle w:val="53"/>
              <w:ind w:firstLine="0" w:firstLineChars="0"/>
              <w:jc w:val="left"/>
              <w:rPr>
                <w:rFonts w:hint="eastAsia" w:ascii="宋体" w:hAnsi="宋体" w:eastAsia="宋体" w:cs="宋体"/>
                <w:sz w:val="18"/>
                <w:szCs w:val="18"/>
              </w:rPr>
            </w:pPr>
            <w:r>
              <w:rPr>
                <w:rFonts w:hint="eastAsia" w:ascii="宋体" w:hAnsi="宋体" w:eastAsia="宋体" w:cs="宋体"/>
                <w:sz w:val="18"/>
                <w:szCs w:val="18"/>
              </w:rPr>
              <w:t>了解安全事件分级分类</w:t>
            </w:r>
          </w:p>
        </w:tc>
        <w:tc>
          <w:tcPr>
            <w:tcW w:w="1727" w:type="dxa"/>
            <w:vMerge w:val="continue"/>
            <w:vAlign w:val="center"/>
          </w:tcPr>
          <w:p>
            <w:pPr>
              <w:pStyle w:val="53"/>
              <w:widowControl w:val="0"/>
              <w:ind w:firstLine="48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847"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网络安全应急响应技术流程与方法</w:t>
            </w:r>
          </w:p>
        </w:tc>
        <w:tc>
          <w:tcPr>
            <w:tcW w:w="4781"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熟练掌握应急响应准备阶段、抑制阶段、保护阶段、事件检测阶段、取证阶段、根除阶段、恢复阶段、总结报告等各阶段知识</w:t>
            </w:r>
          </w:p>
        </w:tc>
        <w:tc>
          <w:tcPr>
            <w:tcW w:w="1727" w:type="dxa"/>
            <w:vMerge w:val="continue"/>
            <w:vAlign w:val="center"/>
          </w:tcPr>
          <w:p>
            <w:pPr>
              <w:pStyle w:val="53"/>
              <w:ind w:firstLine="48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847"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应急演练</w:t>
            </w:r>
          </w:p>
        </w:tc>
        <w:tc>
          <w:tcPr>
            <w:tcW w:w="4781" w:type="dxa"/>
            <w:vAlign w:val="center"/>
          </w:tcPr>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了解应急演练定义、目的、原则</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了解应急演练分类及方法</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了解应急演练的组织架构</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了解应急演练流程和规划</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掌握应急演练的实施和总结</w:t>
            </w:r>
          </w:p>
        </w:tc>
        <w:tc>
          <w:tcPr>
            <w:tcW w:w="1727" w:type="dxa"/>
            <w:vMerge w:val="continue"/>
            <w:vAlign w:val="center"/>
          </w:tcPr>
          <w:p>
            <w:pPr>
              <w:pStyle w:val="53"/>
              <w:ind w:firstLine="0" w:firstLineChars="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847" w:type="dxa"/>
            <w:vAlign w:val="center"/>
          </w:tcPr>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网络安全事件应急处置实战</w:t>
            </w:r>
          </w:p>
          <w:p>
            <w:pPr>
              <w:pStyle w:val="18"/>
              <w:shd w:val="clear" w:color="auto" w:fill="FFFFFF"/>
              <w:spacing w:before="0" w:beforeAutospacing="0" w:after="0" w:afterAutospacing="0"/>
              <w:jc w:val="left"/>
              <w:rPr>
                <w:rFonts w:hint="eastAsia" w:ascii="宋体" w:hAnsi="宋体" w:eastAsia="宋体" w:cs="宋体"/>
                <w:sz w:val="18"/>
                <w:szCs w:val="18"/>
              </w:rPr>
            </w:pPr>
          </w:p>
        </w:tc>
        <w:tc>
          <w:tcPr>
            <w:tcW w:w="4781" w:type="dxa"/>
            <w:vAlign w:val="center"/>
          </w:tcPr>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掌握常见Web 攻击应急处置实战知识</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掌握信息泄露类攻击应急处置实战知识</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掌握主机类攻击应急处置实战知识</w:t>
            </w:r>
          </w:p>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掌握有害事件应急处置实战知识</w:t>
            </w:r>
          </w:p>
        </w:tc>
        <w:tc>
          <w:tcPr>
            <w:tcW w:w="1727" w:type="dxa"/>
            <w:vMerge w:val="continue"/>
            <w:vAlign w:val="center"/>
          </w:tcPr>
          <w:p>
            <w:pPr>
              <w:pStyle w:val="53"/>
              <w:ind w:firstLine="0" w:firstLineChars="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6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6</w:t>
            </w:r>
          </w:p>
        </w:tc>
        <w:tc>
          <w:tcPr>
            <w:tcW w:w="1847" w:type="dxa"/>
            <w:vAlign w:val="center"/>
          </w:tcPr>
          <w:p>
            <w:pPr>
              <w:jc w:val="left"/>
              <w:rPr>
                <w:rFonts w:hint="eastAsia" w:ascii="宋体" w:hAnsi="宋体" w:eastAsia="宋体" w:cs="宋体"/>
                <w:sz w:val="18"/>
                <w:szCs w:val="18"/>
              </w:rPr>
            </w:pPr>
            <w:r>
              <w:rPr>
                <w:rFonts w:hint="eastAsia" w:ascii="宋体" w:hAnsi="宋体" w:eastAsia="宋体" w:cs="宋体"/>
                <w:sz w:val="18"/>
                <w:szCs w:val="18"/>
              </w:rPr>
              <w:t>分析排查</w:t>
            </w:r>
          </w:p>
        </w:tc>
        <w:tc>
          <w:tcPr>
            <w:tcW w:w="4781" w:type="dxa"/>
            <w:vAlign w:val="center"/>
          </w:tcPr>
          <w:p>
            <w:pPr>
              <w:pStyle w:val="18"/>
              <w:shd w:val="clear" w:color="auto" w:fill="FFFFFF"/>
              <w:spacing w:before="0" w:beforeAutospacing="0" w:after="0" w:afterAutospacing="0"/>
              <w:jc w:val="left"/>
              <w:rPr>
                <w:rFonts w:hint="eastAsia" w:ascii="宋体" w:hAnsi="宋体" w:eastAsia="宋体" w:cs="宋体"/>
                <w:sz w:val="18"/>
                <w:szCs w:val="18"/>
              </w:rPr>
            </w:pPr>
            <w:r>
              <w:rPr>
                <w:rFonts w:hint="eastAsia" w:ascii="宋体" w:hAnsi="宋体" w:eastAsia="宋体" w:cs="宋体"/>
                <w:sz w:val="18"/>
                <w:szCs w:val="18"/>
              </w:rPr>
              <w:t>掌握w</w:t>
            </w:r>
            <w:r>
              <w:rPr>
                <w:rFonts w:hint="eastAsia" w:ascii="宋体" w:hAnsi="宋体" w:eastAsia="宋体" w:cs="宋体"/>
                <w:sz w:val="18"/>
                <w:szCs w:val="18"/>
                <w:lang w:eastAsia="zh-CN"/>
              </w:rPr>
              <w:t>H</w:t>
            </w:r>
            <w:r>
              <w:rPr>
                <w:rFonts w:hint="eastAsia" w:ascii="宋体" w:hAnsi="宋体" w:eastAsia="宋体" w:cs="宋体"/>
                <w:sz w:val="18"/>
                <w:szCs w:val="18"/>
              </w:rPr>
              <w:t>ndows/L</w:t>
            </w:r>
            <w:r>
              <w:rPr>
                <w:rFonts w:hint="eastAsia" w:ascii="宋体" w:hAnsi="宋体" w:eastAsia="宋体" w:cs="宋体"/>
                <w:sz w:val="18"/>
                <w:szCs w:val="18"/>
                <w:lang w:eastAsia="zh-CN"/>
              </w:rPr>
              <w:t>H</w:t>
            </w:r>
            <w:r>
              <w:rPr>
                <w:rFonts w:hint="eastAsia" w:ascii="宋体" w:hAnsi="宋体" w:eastAsia="宋体" w:cs="宋体"/>
                <w:sz w:val="18"/>
                <w:szCs w:val="18"/>
              </w:rPr>
              <w:t>nux的分析排查知识</w:t>
            </w:r>
          </w:p>
        </w:tc>
        <w:tc>
          <w:tcPr>
            <w:tcW w:w="1727" w:type="dxa"/>
            <w:vMerge w:val="continue"/>
            <w:vAlign w:val="center"/>
          </w:tcPr>
          <w:p>
            <w:pPr>
              <w:pStyle w:val="53"/>
              <w:ind w:firstLine="0" w:firstLineChars="0"/>
              <w:jc w:val="center"/>
              <w:rPr>
                <w:rFonts w:hint="eastAsia" w:ascii="宋体" w:hAnsi="宋体" w:eastAsia="宋体" w:cs="宋体"/>
                <w:color w:val="000000"/>
                <w:sz w:val="18"/>
                <w:szCs w:val="18"/>
              </w:rPr>
            </w:pPr>
          </w:p>
        </w:tc>
      </w:tr>
    </w:tbl>
    <w:p>
      <w:pPr>
        <w:pStyle w:val="53"/>
        <w:ind w:left="380" w:firstLine="0" w:firstLineChars="0"/>
        <w:rPr>
          <w:rFonts w:ascii="宋体" w:hAnsi="宋体"/>
          <w:color w:val="000000"/>
        </w:rPr>
      </w:pPr>
    </w:p>
    <w:p>
      <w:pPr>
        <w:pStyle w:val="51"/>
        <w:spacing w:line="360" w:lineRule="auto"/>
        <w:ind w:firstLine="0" w:firstLineChars="0"/>
        <w:outlineLvl w:val="0"/>
        <w:rPr>
          <w:rFonts w:hint="eastAsia" w:ascii="黑体" w:hAnsi="黑体" w:eastAsia="黑体" w:cs="黑体"/>
          <w:b w:val="0"/>
          <w:bCs w:val="0"/>
        </w:rPr>
      </w:pPr>
      <w:bookmarkStart w:id="89" w:name="_Toc29351"/>
      <w:r>
        <w:rPr>
          <w:rFonts w:hint="eastAsia" w:ascii="黑体" w:hAnsi="黑体" w:eastAsia="黑体" w:cs="黑体"/>
          <w:b w:val="0"/>
          <w:bCs w:val="0"/>
          <w:lang w:val="en-US" w:eastAsia="zh-CN"/>
        </w:rPr>
        <w:t xml:space="preserve">1.4 </w:t>
      </w:r>
      <w:r>
        <w:rPr>
          <w:rFonts w:hint="eastAsia" w:ascii="黑体" w:hAnsi="黑体" w:eastAsia="黑体" w:cs="黑体"/>
          <w:b w:val="0"/>
          <w:bCs w:val="0"/>
        </w:rPr>
        <w:t>考试说明</w:t>
      </w:r>
      <w:bookmarkEnd w:id="89"/>
    </w:p>
    <w:p>
      <w:pPr>
        <w:spacing w:line="360" w:lineRule="auto"/>
        <w:rPr>
          <w:rFonts w:hint="eastAsia"/>
          <w:szCs w:val="21"/>
        </w:rPr>
      </w:pPr>
      <w:r>
        <w:rPr>
          <w:szCs w:val="21"/>
        </w:rPr>
        <w:t xml:space="preserve"> </w:t>
      </w:r>
      <w:r>
        <w:rPr>
          <w:rFonts w:hint="eastAsia"/>
          <w:szCs w:val="21"/>
          <w:lang w:val="en-US" w:eastAsia="zh-CN"/>
        </w:rPr>
        <w:t xml:space="preserve">I.4.1 </w:t>
      </w:r>
      <w:r>
        <w:rPr>
          <w:rFonts w:hint="eastAsia"/>
          <w:szCs w:val="21"/>
        </w:rPr>
        <w:t>题型</w:t>
      </w:r>
    </w:p>
    <w:p>
      <w:pPr>
        <w:spacing w:line="360" w:lineRule="auto"/>
        <w:jc w:val="center"/>
        <w:outlineLvl w:val="0"/>
        <w:rPr>
          <w:rFonts w:hint="eastAsia" w:ascii="黑体" w:hAnsi="黑体" w:eastAsia="黑体" w:cs="黑体"/>
          <w:szCs w:val="21"/>
          <w:lang w:val="en-US" w:eastAsia="zh-CN"/>
        </w:rPr>
      </w:pPr>
      <w:bookmarkStart w:id="90" w:name="_Toc32450"/>
      <w:r>
        <w:rPr>
          <w:rFonts w:hint="eastAsia" w:ascii="黑体" w:hAnsi="黑体" w:eastAsia="黑体" w:cs="黑体"/>
          <w:szCs w:val="21"/>
          <w:lang w:val="en-US" w:eastAsia="zh-CN"/>
        </w:rPr>
        <w:t>表I.6 题型</w:t>
      </w:r>
      <w:bookmarkEnd w:id="90"/>
    </w:p>
    <w:tbl>
      <w:tblPr>
        <w:tblStyle w:val="21"/>
        <w:tblW w:w="909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2072"/>
        <w:gridCol w:w="2073"/>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tcPr>
          <w:p>
            <w:pPr>
              <w:spacing w:line="360" w:lineRule="auto"/>
              <w:jc w:val="center"/>
              <w:rPr>
                <w:rFonts w:hint="eastAsia" w:ascii="黑体" w:hAnsi="黑体" w:eastAsia="黑体" w:cs="黑体"/>
                <w:sz w:val="18"/>
                <w:szCs w:val="18"/>
              </w:rPr>
            </w:pPr>
            <w:r>
              <w:rPr>
                <w:rFonts w:hint="eastAsia" w:ascii="黑体" w:hAnsi="黑体" w:eastAsia="黑体" w:cs="黑体"/>
                <w:sz w:val="18"/>
                <w:szCs w:val="18"/>
              </w:rPr>
              <w:t>题型</w:t>
            </w:r>
          </w:p>
        </w:tc>
        <w:tc>
          <w:tcPr>
            <w:tcW w:w="2072" w:type="dxa"/>
          </w:tcPr>
          <w:p>
            <w:pPr>
              <w:spacing w:line="360" w:lineRule="auto"/>
              <w:jc w:val="center"/>
              <w:rPr>
                <w:rFonts w:hint="eastAsia" w:ascii="黑体" w:hAnsi="黑体" w:eastAsia="黑体" w:cs="黑体"/>
                <w:sz w:val="18"/>
                <w:szCs w:val="18"/>
              </w:rPr>
            </w:pPr>
            <w:r>
              <w:rPr>
                <w:rFonts w:hint="eastAsia" w:ascii="黑体" w:hAnsi="黑体" w:eastAsia="黑体" w:cs="黑体"/>
                <w:sz w:val="18"/>
                <w:szCs w:val="18"/>
              </w:rPr>
              <w:t>数量</w:t>
            </w:r>
          </w:p>
        </w:tc>
        <w:tc>
          <w:tcPr>
            <w:tcW w:w="2073" w:type="dxa"/>
          </w:tcPr>
          <w:p>
            <w:pPr>
              <w:spacing w:line="360" w:lineRule="auto"/>
              <w:jc w:val="center"/>
              <w:rPr>
                <w:rFonts w:hint="eastAsia" w:ascii="黑体" w:hAnsi="黑体" w:eastAsia="黑体" w:cs="黑体"/>
                <w:sz w:val="18"/>
                <w:szCs w:val="18"/>
              </w:rPr>
            </w:pPr>
            <w:r>
              <w:rPr>
                <w:rFonts w:hint="eastAsia" w:ascii="黑体" w:hAnsi="黑体" w:eastAsia="黑体" w:cs="黑体"/>
                <w:sz w:val="18"/>
                <w:szCs w:val="18"/>
              </w:rPr>
              <w:t>单题分值（分）</w:t>
            </w:r>
          </w:p>
        </w:tc>
        <w:tc>
          <w:tcPr>
            <w:tcW w:w="3155" w:type="dxa"/>
          </w:tcPr>
          <w:p>
            <w:pPr>
              <w:spacing w:line="360" w:lineRule="auto"/>
              <w:jc w:val="center"/>
              <w:rPr>
                <w:rFonts w:hint="eastAsia" w:ascii="黑体" w:hAnsi="黑体" w:eastAsia="黑体" w:cs="黑体"/>
                <w:sz w:val="18"/>
                <w:szCs w:val="18"/>
              </w:rPr>
            </w:pPr>
            <w:r>
              <w:rPr>
                <w:rFonts w:hint="eastAsia" w:ascii="黑体" w:hAnsi="黑体" w:eastAsia="黑体" w:cs="黑体"/>
                <w:sz w:val="18"/>
                <w:szCs w:val="18"/>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9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单项选择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315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多项选择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315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判断题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315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问答题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315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hint="eastAsia" w:ascii="黑体" w:hAnsi="黑体" w:eastAsia="黑体" w:cs="黑体"/>
          <w:szCs w:val="21"/>
        </w:rPr>
      </w:pPr>
      <w:r>
        <w:rPr>
          <w:rFonts w:hint="eastAsia" w:ascii="黑体" w:hAnsi="黑体" w:eastAsia="黑体" w:cs="黑体"/>
          <w:szCs w:val="21"/>
        </w:rPr>
        <w:t xml:space="preserve"> </w:t>
      </w:r>
      <w:r>
        <w:rPr>
          <w:rFonts w:hint="eastAsia" w:ascii="黑体" w:hAnsi="黑体" w:eastAsia="黑体" w:cs="黑体"/>
          <w:szCs w:val="21"/>
          <w:lang w:val="en-US" w:eastAsia="zh-CN"/>
        </w:rPr>
        <w:t>I.4.2</w:t>
      </w:r>
      <w:r>
        <w:rPr>
          <w:rFonts w:hint="eastAsia" w:ascii="黑体" w:hAnsi="黑体" w:eastAsia="黑体" w:cs="黑体"/>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Cs w:val="21"/>
        </w:rPr>
      </w:pPr>
      <w:r>
        <w:rPr>
          <w:rFonts w:hint="eastAsia" w:ascii="宋体" w:hAnsi="宋体" w:eastAsia="宋体" w:cs="宋体"/>
          <w:szCs w:val="21"/>
        </w:rPr>
        <w:t>总考试时间为120分钟，提前15分钟进入考场，迟到30分钟以上的视为放弃考试，考试开始后30分钟内离场的成绩无效。</w:t>
      </w:r>
    </w:p>
    <w:p>
      <w:pPr>
        <w:spacing w:line="360" w:lineRule="auto"/>
        <w:rPr>
          <w:rFonts w:hint="eastAsia" w:ascii="黑体" w:hAnsi="黑体" w:eastAsia="黑体" w:cs="黑体"/>
          <w:szCs w:val="21"/>
        </w:rPr>
      </w:pPr>
      <w:r>
        <w:rPr>
          <w:rFonts w:hint="eastAsia" w:ascii="黑体" w:hAnsi="黑体" w:eastAsia="黑体" w:cs="黑体"/>
          <w:szCs w:val="21"/>
        </w:rPr>
        <w:t xml:space="preserve"> </w:t>
      </w:r>
      <w:r>
        <w:rPr>
          <w:rFonts w:hint="eastAsia" w:ascii="黑体" w:hAnsi="黑体" w:eastAsia="黑体" w:cs="黑体"/>
          <w:szCs w:val="21"/>
          <w:lang w:val="en-US" w:eastAsia="zh-CN"/>
        </w:rPr>
        <w:t>I.4.3</w:t>
      </w:r>
      <w:r>
        <w:rPr>
          <w:rFonts w:hint="eastAsia" w:ascii="黑体" w:hAnsi="黑体" w:eastAsia="黑体" w:cs="黑体"/>
          <w:szCs w:val="21"/>
        </w:rPr>
        <w:t xml:space="preserve"> 考试合格标准</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考试满分为100分，考试成绩</w:t>
      </w:r>
      <w:r>
        <w:rPr>
          <w:rFonts w:hint="eastAsia" w:ascii="宋体" w:hAnsi="宋体" w:eastAsia="宋体" w:cs="宋体"/>
          <w:szCs w:val="21"/>
          <w:lang w:val="en-US" w:eastAsia="zh-CN"/>
        </w:rPr>
        <w:t>60</w:t>
      </w:r>
      <w:r>
        <w:rPr>
          <w:rFonts w:hint="eastAsia" w:ascii="宋体" w:hAnsi="宋体" w:eastAsia="宋体" w:cs="宋体"/>
          <w:szCs w:val="21"/>
        </w:rPr>
        <w:t>分以上为合格</w:t>
      </w:r>
      <w:r>
        <w:rPr>
          <w:rFonts w:hint="eastAsia" w:ascii="宋体" w:hAnsi="宋体" w:eastAsia="宋体" w:cs="宋体"/>
          <w:szCs w:val="21"/>
          <w:lang w:eastAsia="zh-CN"/>
        </w:rPr>
        <w:t>。</w:t>
      </w:r>
    </w:p>
    <w:p/>
    <w:p/>
    <w:p/>
    <w:p/>
    <w:p>
      <w:pPr>
        <w:tabs>
          <w:tab w:val="left" w:pos="3455"/>
        </w:tabs>
        <w:spacing w:line="360" w:lineRule="auto"/>
        <w:jc w:val="center"/>
        <w:outlineLvl w:val="0"/>
        <w:rPr>
          <w:rFonts w:hint="eastAsia" w:ascii="黑体" w:hAnsi="黑体" w:eastAsia="黑体" w:cs="黑体"/>
          <w:szCs w:val="21"/>
          <w:lang w:val="en-US" w:eastAsia="zh-CN"/>
        </w:rPr>
      </w:pPr>
      <w:bookmarkStart w:id="91" w:name="_Toc16238"/>
      <w:r>
        <w:rPr>
          <w:rFonts w:hint="eastAsia" w:ascii="黑体" w:hAnsi="黑体" w:eastAsia="黑体" w:cs="黑体"/>
          <w:szCs w:val="21"/>
        </w:rPr>
        <w:t>附</w:t>
      </w:r>
      <w:r>
        <w:rPr>
          <w:rFonts w:hint="eastAsia" w:ascii="黑体" w:hAnsi="黑体" w:eastAsia="黑体" w:cs="黑体"/>
          <w:szCs w:val="21"/>
          <w:lang w:val="en-US" w:eastAsia="zh-CN"/>
        </w:rPr>
        <w:t xml:space="preserve"> </w:t>
      </w:r>
      <w:r>
        <w:rPr>
          <w:rFonts w:hint="eastAsia" w:ascii="黑体" w:hAnsi="黑体" w:eastAsia="黑体" w:cs="黑体"/>
          <w:szCs w:val="21"/>
        </w:rPr>
        <w:t>录</w:t>
      </w:r>
      <w:r>
        <w:rPr>
          <w:rFonts w:hint="eastAsia" w:ascii="黑体" w:hAnsi="黑体" w:eastAsia="黑体" w:cs="黑体"/>
          <w:szCs w:val="21"/>
          <w:lang w:val="en-US" w:eastAsia="zh-CN"/>
        </w:rPr>
        <w:t xml:space="preserve"> J</w:t>
      </w:r>
      <w:bookmarkEnd w:id="91"/>
    </w:p>
    <w:p>
      <w:pPr>
        <w:tabs>
          <w:tab w:val="left" w:pos="3455"/>
        </w:tabs>
        <w:spacing w:line="360" w:lineRule="auto"/>
        <w:jc w:val="center"/>
        <w:outlineLvl w:val="0"/>
        <w:rPr>
          <w:rFonts w:hint="default" w:ascii="黑体" w:hAnsi="黑体" w:eastAsia="黑体" w:cs="黑体"/>
          <w:szCs w:val="21"/>
          <w:lang w:val="en-US" w:eastAsia="zh-CN"/>
        </w:rPr>
      </w:pPr>
      <w:bookmarkStart w:id="92" w:name="_Toc30049"/>
      <w:r>
        <w:rPr>
          <w:rFonts w:hint="eastAsia" w:ascii="黑体" w:hAnsi="黑体" w:eastAsia="黑体" w:cs="黑体"/>
          <w:szCs w:val="21"/>
          <w:lang w:val="en-US" w:eastAsia="zh-CN"/>
        </w:rPr>
        <w:t>(规范性)</w:t>
      </w:r>
      <w:bookmarkEnd w:id="92"/>
    </w:p>
    <w:p>
      <w:pPr>
        <w:keepNext w:val="0"/>
        <w:keepLines w:val="0"/>
        <w:pageBreakBefore w:val="0"/>
        <w:widowControl w:val="0"/>
        <w:tabs>
          <w:tab w:val="left" w:pos="3455"/>
        </w:tabs>
        <w:kinsoku/>
        <w:wordWrap/>
        <w:overflowPunct/>
        <w:topLinePunct w:val="0"/>
        <w:autoSpaceDE/>
        <w:autoSpaceDN/>
        <w:bidi w:val="0"/>
        <w:adjustRightInd/>
        <w:snapToGrid/>
        <w:spacing w:after="283" w:line="360" w:lineRule="auto"/>
        <w:jc w:val="center"/>
        <w:textAlignment w:val="auto"/>
        <w:outlineLvl w:val="0"/>
        <w:rPr>
          <w:rFonts w:ascii="黑体" w:hAnsi="黑体" w:eastAsia="黑体" w:cs="黑体"/>
          <w:szCs w:val="21"/>
        </w:rPr>
      </w:pPr>
      <w:bookmarkStart w:id="93" w:name="_Toc14029"/>
      <w:r>
        <w:rPr>
          <w:rFonts w:hint="eastAsia" w:ascii="黑体" w:hAnsi="黑体" w:eastAsia="黑体" w:cs="黑体"/>
          <w:szCs w:val="21"/>
        </w:rPr>
        <w:t>信息</w:t>
      </w:r>
      <w:r>
        <w:rPr>
          <w:rFonts w:hint="eastAsia" w:ascii="黑体" w:hAnsi="黑体" w:eastAsia="黑体" w:cs="黑体"/>
          <w:szCs w:val="21"/>
          <w:lang w:eastAsia="zh-CN"/>
        </w:rPr>
        <w:t>系统安全</w:t>
      </w:r>
      <w:r>
        <w:rPr>
          <w:rFonts w:hint="eastAsia" w:ascii="黑体" w:hAnsi="黑体" w:eastAsia="黑体" w:cs="黑体"/>
          <w:szCs w:val="21"/>
        </w:rPr>
        <w:t>集成方向考试大纲</w:t>
      </w:r>
      <w:bookmarkEnd w:id="93"/>
    </w:p>
    <w:p>
      <w:pPr>
        <w:pStyle w:val="51"/>
        <w:numPr>
          <w:ilvl w:val="0"/>
          <w:numId w:val="0"/>
        </w:numPr>
        <w:spacing w:line="360" w:lineRule="auto"/>
        <w:ind w:leftChars="0"/>
        <w:rPr>
          <w:rFonts w:hint="eastAsia" w:ascii="黑体" w:hAnsi="黑体" w:eastAsia="黑体" w:cs="黑体"/>
          <w:b w:val="0"/>
          <w:bCs w:val="0"/>
        </w:rPr>
      </w:pPr>
      <w:r>
        <w:rPr>
          <w:rFonts w:hint="eastAsia" w:ascii="黑体" w:hAnsi="黑体" w:eastAsia="黑体" w:cs="黑体"/>
          <w:b w:val="0"/>
          <w:bCs w:val="0"/>
          <w:lang w:val="en-US" w:eastAsia="zh-CN"/>
        </w:rPr>
        <w:t xml:space="preserve">J.1 </w:t>
      </w:r>
      <w:r>
        <w:rPr>
          <w:rFonts w:hint="eastAsia" w:ascii="黑体" w:hAnsi="黑体" w:eastAsia="黑体" w:cs="黑体"/>
          <w:b w:val="0"/>
          <w:bCs w:val="0"/>
        </w:rPr>
        <w:t>目的</w:t>
      </w:r>
    </w:p>
    <w:p>
      <w:pPr>
        <w:pStyle w:val="29"/>
        <w:keepNext w:val="0"/>
        <w:keepLines w:val="0"/>
        <w:pageBreakBefore w:val="0"/>
        <w:widowControl w:val="0"/>
        <w:kinsoku/>
        <w:wordWrap/>
        <w:overflowPunct/>
        <w:topLinePunct w:val="0"/>
        <w:autoSpaceDE/>
        <w:autoSpaceDN/>
        <w:bidi w:val="0"/>
        <w:adjustRightInd/>
        <w:snapToGrid/>
        <w:spacing w:after="156" w:afterLines="50" w:line="360" w:lineRule="auto"/>
        <w:ind w:firstLine="480"/>
        <w:textAlignment w:val="auto"/>
        <w:rPr>
          <w:rFonts w:ascii="宋体" w:hAnsi="宋体"/>
          <w:color w:val="000000" w:themeColor="text1"/>
          <w14:textFill>
            <w14:solidFill>
              <w14:schemeClr w14:val="tx1"/>
            </w14:solidFill>
          </w14:textFill>
        </w:rPr>
      </w:pPr>
      <w:r>
        <w:t>为使考生</w:t>
      </w:r>
      <w:r>
        <w:rPr>
          <w:rFonts w:hint="eastAsia"/>
        </w:rPr>
        <w:t>达到本认证规范中</w:t>
      </w:r>
      <w:r>
        <w:t>规定</w:t>
      </w:r>
      <w:r>
        <w:rPr>
          <w:rFonts w:hint="eastAsia"/>
        </w:rPr>
        <w:t>网络空间安全专业人员技术类信息安全集成方向三、四级能力要求，</w:t>
      </w:r>
      <w:r>
        <w:t>指导考生有效准备考试，特制定本考试大纲(以下简称大纲)</w:t>
      </w:r>
      <w:r>
        <w:rPr>
          <w:rFonts w:hint="eastAsia"/>
          <w:lang w:val="en-US" w:eastAsia="zh-CN"/>
        </w:rPr>
        <w:t>,</w:t>
      </w:r>
      <w:r>
        <w:rPr>
          <w:rFonts w:hint="eastAsia" w:ascii="宋体" w:hAnsi="宋体"/>
          <w:color w:val="000000" w:themeColor="text1"/>
          <w14:textFill>
            <w14:solidFill>
              <w14:schemeClr w14:val="tx1"/>
            </w14:solidFill>
          </w14:textFill>
        </w:rPr>
        <w:t>本大纲适用于所有申请网络空间安全专业人员认证</w:t>
      </w:r>
      <w:r>
        <w:rPr>
          <w:rFonts w:hint="eastAsia"/>
        </w:rPr>
        <w:t>技术类信息安全集成方向三、四级</w:t>
      </w:r>
      <w:r>
        <w:rPr>
          <w:rFonts w:hint="eastAsia" w:ascii="宋体" w:hAnsi="宋体"/>
          <w:color w:val="000000" w:themeColor="text1"/>
          <w14:textFill>
            <w14:solidFill>
              <w14:schemeClr w14:val="tx1"/>
            </w14:solidFill>
          </w14:textFill>
        </w:rPr>
        <w:t>的人员。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rPr>
      </w:pPr>
      <w:r>
        <w:rPr>
          <w:rFonts w:hint="eastAsia" w:ascii="黑体" w:hAnsi="黑体" w:eastAsia="黑体" w:cs="黑体"/>
          <w:b w:val="0"/>
          <w:bCs w:val="0"/>
          <w:lang w:val="en-US" w:eastAsia="zh-CN"/>
        </w:rPr>
        <w:t>J.2</w:t>
      </w:r>
      <w:r>
        <w:rPr>
          <w:rFonts w:hint="eastAsia" w:ascii="黑体" w:hAnsi="黑体" w:eastAsia="黑体" w:cs="黑体"/>
          <w:b w:val="0"/>
          <w:bCs w:val="0"/>
        </w:rPr>
        <w:t>考试内容</w:t>
      </w:r>
    </w:p>
    <w:p>
      <w:pPr>
        <w:pStyle w:val="51"/>
        <w:keepNext w:val="0"/>
        <w:keepLines w:val="0"/>
        <w:pageBreakBefore w:val="0"/>
        <w:widowControl w:val="0"/>
        <w:kinsoku/>
        <w:wordWrap/>
        <w:overflowPunct/>
        <w:topLinePunct w:val="0"/>
        <w:autoSpaceDE/>
        <w:autoSpaceDN/>
        <w:bidi w:val="0"/>
        <w:adjustRightInd/>
        <w:snapToGrid/>
        <w:spacing w:after="156" w:afterLines="50" w:line="360" w:lineRule="auto"/>
        <w:ind w:firstLine="0" w:firstLineChars="0"/>
        <w:textAlignment w:val="auto"/>
        <w:rPr>
          <w:rFonts w:hint="eastAsia" w:ascii="黑体" w:hAnsi="黑体" w:eastAsia="黑体" w:cs="黑体"/>
        </w:rPr>
      </w:pPr>
      <w:r>
        <w:rPr>
          <w:rFonts w:hint="eastAsia" w:ascii="黑体" w:hAnsi="黑体" w:eastAsia="黑体" w:cs="黑体"/>
          <w:b w:val="0"/>
          <w:bCs w:val="0"/>
          <w:lang w:val="en-US" w:eastAsia="zh-CN"/>
        </w:rPr>
        <w:t>J.2.1</w:t>
      </w:r>
      <w:r>
        <w:rPr>
          <w:rFonts w:hint="eastAsia" w:ascii="黑体" w:hAnsi="黑体" w:eastAsia="黑体" w:cs="黑体"/>
        </w:rPr>
        <w:t>课程要求和考试比例</w:t>
      </w:r>
    </w:p>
    <w:p>
      <w:pPr>
        <w:pStyle w:val="51"/>
        <w:spacing w:after="156" w:afterLines="50" w:line="360" w:lineRule="auto"/>
        <w:ind w:firstLine="0" w:firstLineChars="0"/>
        <w:jc w:val="center"/>
        <w:rPr>
          <w:rFonts w:hint="default"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 xml:space="preserve">J.1 </w:t>
      </w:r>
      <w:r>
        <w:rPr>
          <w:rFonts w:hint="eastAsia" w:ascii="黑体" w:hAnsi="黑体" w:eastAsia="黑体" w:cs="黑体"/>
        </w:rPr>
        <w:t>课程要求和考试比例</w:t>
      </w:r>
    </w:p>
    <w:tbl>
      <w:tblPr>
        <w:tblStyle w:val="21"/>
        <w:tblW w:w="9165"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1828"/>
        <w:gridCol w:w="187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7" w:type="dxa"/>
          </w:tcPr>
          <w:p>
            <w:pPr>
              <w:pStyle w:val="51"/>
              <w:spacing w:line="360" w:lineRule="auto"/>
              <w:ind w:firstLine="0" w:firstLineChars="0"/>
              <w:jc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课程名称</w:t>
            </w:r>
          </w:p>
        </w:tc>
        <w:tc>
          <w:tcPr>
            <w:tcW w:w="1828" w:type="dxa"/>
          </w:tcPr>
          <w:p>
            <w:pPr>
              <w:pStyle w:val="51"/>
              <w:spacing w:line="360" w:lineRule="auto"/>
              <w:ind w:firstLine="0" w:firstLineChars="0"/>
              <w:jc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课程类型</w:t>
            </w:r>
          </w:p>
        </w:tc>
        <w:tc>
          <w:tcPr>
            <w:tcW w:w="1875" w:type="dxa"/>
          </w:tcPr>
          <w:p>
            <w:pPr>
              <w:pStyle w:val="51"/>
              <w:spacing w:line="360" w:lineRule="auto"/>
              <w:ind w:firstLine="0" w:firstLineChars="0"/>
              <w:jc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选择范围</w:t>
            </w:r>
          </w:p>
        </w:tc>
        <w:tc>
          <w:tcPr>
            <w:tcW w:w="2385" w:type="dxa"/>
          </w:tcPr>
          <w:p>
            <w:pPr>
              <w:pStyle w:val="51"/>
              <w:spacing w:line="360" w:lineRule="auto"/>
              <w:ind w:firstLine="0" w:firstLineChars="0"/>
              <w:jc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考试所占比例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7"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项目管理基础</w:t>
            </w:r>
          </w:p>
        </w:tc>
        <w:tc>
          <w:tcPr>
            <w:tcW w:w="1828"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187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38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7"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信息安全技术</w:t>
            </w:r>
          </w:p>
        </w:tc>
        <w:tc>
          <w:tcPr>
            <w:tcW w:w="1828"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187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38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7"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安全集成</w:t>
            </w:r>
          </w:p>
        </w:tc>
        <w:tc>
          <w:tcPr>
            <w:tcW w:w="1828"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187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38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7" w:type="dxa"/>
          </w:tcPr>
          <w:p>
            <w:pPr>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通信技术基础</w:t>
            </w:r>
          </w:p>
        </w:tc>
        <w:tc>
          <w:tcPr>
            <w:tcW w:w="1828"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基础课程</w:t>
            </w:r>
          </w:p>
        </w:tc>
        <w:tc>
          <w:tcPr>
            <w:tcW w:w="187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全部</w:t>
            </w:r>
          </w:p>
        </w:tc>
        <w:tc>
          <w:tcPr>
            <w:tcW w:w="2385" w:type="dxa"/>
          </w:tcPr>
          <w:p>
            <w:pPr>
              <w:pStyle w:val="51"/>
              <w:ind w:firstLine="0" w:firstLineChars="0"/>
              <w:jc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20%</w:t>
            </w:r>
          </w:p>
        </w:tc>
      </w:tr>
    </w:tbl>
    <w:p>
      <w:pPr>
        <w:pStyle w:val="51"/>
        <w:keepNext w:val="0"/>
        <w:keepLines w:val="0"/>
        <w:pageBreakBefore w:val="0"/>
        <w:widowControl w:val="0"/>
        <w:kinsoku/>
        <w:wordWrap/>
        <w:overflowPunct/>
        <w:topLinePunct w:val="0"/>
        <w:autoSpaceDE/>
        <w:autoSpaceDN/>
        <w:bidi w:val="0"/>
        <w:adjustRightInd/>
        <w:snapToGrid/>
        <w:spacing w:before="160" w:beforeLines="50" w:line="360" w:lineRule="auto"/>
        <w:ind w:firstLine="0" w:firstLineChars="0"/>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J.3</w:t>
      </w:r>
      <w:r>
        <w:rPr>
          <w:rFonts w:hint="eastAsia" w:ascii="黑体" w:hAnsi="黑体" w:eastAsia="黑体" w:cs="黑体"/>
          <w:sz w:val="21"/>
          <w:szCs w:val="21"/>
        </w:rPr>
        <w:t xml:space="preserve"> 各课程知识点要求</w:t>
      </w:r>
    </w:p>
    <w:p>
      <w:pPr>
        <w:pStyle w:val="51"/>
        <w:spacing w:after="156" w:afterLines="50" w:line="360" w:lineRule="auto"/>
        <w:ind w:left="0" w:leftChars="0" w:firstLine="0" w:firstLineChars="0"/>
        <w:rPr>
          <w:rFonts w:hint="eastAsia" w:ascii="黑体" w:hAnsi="黑体" w:eastAsia="黑体" w:cs="黑体"/>
        </w:rPr>
      </w:pPr>
      <w:r>
        <w:rPr>
          <w:rFonts w:hint="eastAsia" w:ascii="黑体" w:hAnsi="黑体" w:eastAsia="黑体" w:cs="黑体"/>
          <w:sz w:val="21"/>
          <w:szCs w:val="21"/>
          <w:lang w:val="en-US" w:eastAsia="zh-CN"/>
        </w:rPr>
        <w:t>J.3</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.1</w:t>
      </w:r>
      <w:r>
        <w:rPr>
          <w:rFonts w:hint="eastAsia" w:ascii="黑体" w:hAnsi="黑体" w:eastAsia="黑体" w:cs="黑体"/>
        </w:rPr>
        <w:t>项目管理基础</w:t>
      </w:r>
    </w:p>
    <w:p>
      <w:pPr>
        <w:pStyle w:val="51"/>
        <w:spacing w:after="156" w:afterLines="50" w:line="360" w:lineRule="auto"/>
        <w:ind w:left="0" w:leftChars="0" w:firstLine="0" w:firstLineChars="0"/>
        <w:jc w:val="center"/>
        <w:rPr>
          <w:rFonts w:hint="eastAsia"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J.2 项目管理基础课程内容与要求</w:t>
      </w:r>
    </w:p>
    <w:tbl>
      <w:tblPr>
        <w:tblStyle w:val="21"/>
        <w:tblW w:w="9165"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33"/>
        <w:gridCol w:w="3987"/>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1"/>
              <w:spacing w:line="360" w:lineRule="auto"/>
              <w:ind w:firstLine="0" w:firstLineChars="0"/>
              <w:jc w:val="center"/>
              <w:rPr>
                <w:rFonts w:hint="eastAsia" w:ascii="黑体" w:hAnsi="黑体" w:eastAsia="黑体" w:cs="黑体"/>
                <w:sz w:val="21"/>
                <w:szCs w:val="21"/>
              </w:rPr>
            </w:pPr>
            <w:r>
              <w:rPr>
                <w:rFonts w:hint="eastAsia" w:ascii="黑体" w:hAnsi="黑体" w:eastAsia="黑体" w:cs="黑体"/>
                <w:sz w:val="21"/>
                <w:szCs w:val="21"/>
              </w:rPr>
              <w:t>章节号</w:t>
            </w:r>
          </w:p>
        </w:tc>
        <w:tc>
          <w:tcPr>
            <w:tcW w:w="1833" w:type="dxa"/>
            <w:vAlign w:val="center"/>
          </w:tcPr>
          <w:p>
            <w:pPr>
              <w:pStyle w:val="51"/>
              <w:spacing w:line="360" w:lineRule="auto"/>
              <w:ind w:firstLine="0" w:firstLineChars="0"/>
              <w:jc w:val="center"/>
              <w:rPr>
                <w:rFonts w:hint="eastAsia" w:ascii="黑体" w:hAnsi="黑体" w:eastAsia="黑体" w:cs="黑体"/>
                <w:sz w:val="21"/>
                <w:szCs w:val="21"/>
              </w:rPr>
            </w:pPr>
            <w:r>
              <w:rPr>
                <w:rFonts w:hint="eastAsia" w:ascii="黑体" w:hAnsi="黑体" w:eastAsia="黑体" w:cs="黑体"/>
                <w:sz w:val="21"/>
                <w:szCs w:val="21"/>
              </w:rPr>
              <w:t>章节名</w:t>
            </w:r>
          </w:p>
        </w:tc>
        <w:tc>
          <w:tcPr>
            <w:tcW w:w="3987" w:type="dxa"/>
            <w:vAlign w:val="center"/>
          </w:tcPr>
          <w:p>
            <w:pPr>
              <w:pStyle w:val="51"/>
              <w:spacing w:line="360" w:lineRule="auto"/>
              <w:ind w:firstLine="0" w:firstLineChars="0"/>
              <w:jc w:val="center"/>
              <w:rPr>
                <w:rFonts w:hint="eastAsia" w:ascii="黑体" w:hAnsi="黑体" w:eastAsia="黑体" w:cs="黑体"/>
                <w:sz w:val="21"/>
                <w:szCs w:val="21"/>
              </w:rPr>
            </w:pPr>
            <w:r>
              <w:rPr>
                <w:rFonts w:hint="eastAsia" w:ascii="黑体" w:hAnsi="黑体" w:eastAsia="黑体" w:cs="黑体"/>
                <w:sz w:val="21"/>
                <w:szCs w:val="21"/>
              </w:rPr>
              <w:t>内容与要求</w:t>
            </w:r>
          </w:p>
        </w:tc>
        <w:tc>
          <w:tcPr>
            <w:tcW w:w="2385" w:type="dxa"/>
            <w:vAlign w:val="center"/>
          </w:tcPr>
          <w:p>
            <w:pPr>
              <w:pStyle w:val="51"/>
              <w:spacing w:line="360" w:lineRule="auto"/>
              <w:ind w:firstLine="0" w:firstLineChars="0"/>
              <w:jc w:val="center"/>
              <w:rPr>
                <w:rFonts w:hint="eastAsia" w:ascii="黑体" w:hAnsi="黑体" w:eastAsia="黑体" w:cs="黑体"/>
                <w:sz w:val="21"/>
                <w:szCs w:val="21"/>
              </w:rPr>
            </w:pPr>
            <w:r>
              <w:rPr>
                <w:rFonts w:hint="eastAsia" w:ascii="黑体" w:hAnsi="黑体" w:eastAsia="黑体" w:cs="黑体"/>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833" w:type="dxa"/>
            <w:vAlign w:val="center"/>
          </w:tcPr>
          <w:p>
            <w:pPr>
              <w:pStyle w:val="18"/>
              <w:jc w:val="both"/>
              <w:rPr>
                <w:rFonts w:hint="eastAsia" w:ascii="宋体" w:hAnsi="宋体" w:eastAsia="宋体" w:cs="宋体"/>
                <w:sz w:val="18"/>
                <w:szCs w:val="18"/>
              </w:rPr>
            </w:pPr>
            <w:r>
              <w:rPr>
                <w:rFonts w:hint="eastAsia" w:ascii="宋体" w:hAnsi="宋体" w:eastAsia="宋体" w:cs="宋体"/>
                <w:sz w:val="18"/>
                <w:szCs w:val="18"/>
              </w:rPr>
              <w:t>项 目 管 理 基本概念</w:t>
            </w:r>
          </w:p>
          <w:p>
            <w:pPr>
              <w:pStyle w:val="51"/>
              <w:ind w:firstLine="0" w:firstLineChars="0"/>
              <w:jc w:val="both"/>
              <w:rPr>
                <w:rFonts w:hint="eastAsia" w:ascii="宋体" w:hAnsi="宋体" w:eastAsia="宋体" w:cs="宋体"/>
                <w:sz w:val="18"/>
                <w:szCs w:val="18"/>
              </w:rPr>
            </w:pPr>
          </w:p>
        </w:tc>
        <w:tc>
          <w:tcPr>
            <w:tcW w:w="3987"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正确理解项目的本质</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正确理解管理的本质</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掌握项目管理的基本分类</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熟练掌握项目管理的生命周期与流程</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掌握项目管理相对其 他管理的特性</w:t>
            </w:r>
          </w:p>
        </w:tc>
        <w:tc>
          <w:tcPr>
            <w:tcW w:w="2385" w:type="dxa"/>
            <w:vMerge w:val="restart"/>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《信息安 全保障人员认证考试辅 导丛书》</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2.各类项目 管理期刊</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3.各类项目 管理正式出 版文献 </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4.PMP 相关 书籍 5.Prince2 相关书籍</w:t>
            </w:r>
          </w:p>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833"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项目管理 的发展历 史与现状</w:t>
            </w:r>
          </w:p>
          <w:p>
            <w:pPr>
              <w:pStyle w:val="51"/>
              <w:ind w:firstLine="0" w:firstLineChars="0"/>
              <w:jc w:val="both"/>
              <w:rPr>
                <w:rFonts w:hint="eastAsia" w:ascii="宋体" w:hAnsi="宋体" w:eastAsia="宋体" w:cs="宋体"/>
                <w:sz w:val="18"/>
                <w:szCs w:val="18"/>
              </w:rPr>
            </w:pPr>
          </w:p>
        </w:tc>
        <w:tc>
          <w:tcPr>
            <w:tcW w:w="3987" w:type="dxa"/>
            <w:vAlign w:val="center"/>
          </w:tcPr>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了解项目管理的发展过程</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了解国际项目管理发展现状</w:t>
            </w:r>
          </w:p>
          <w:p>
            <w:pPr>
              <w:pStyle w:val="51"/>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了解国际国内项目管理人员认证情</w:t>
            </w:r>
          </w:p>
        </w:tc>
        <w:tc>
          <w:tcPr>
            <w:tcW w:w="2385"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九大项目管理知识领域</w:t>
            </w:r>
          </w:p>
          <w:p>
            <w:pPr>
              <w:pStyle w:val="53"/>
              <w:ind w:firstLine="0" w:firstLineChars="0"/>
              <w:jc w:val="both"/>
              <w:rPr>
                <w:rFonts w:hint="eastAsia" w:ascii="宋体" w:hAnsi="宋体" w:eastAsia="宋体" w:cs="宋体"/>
                <w:sz w:val="18"/>
                <w:szCs w:val="18"/>
              </w:rPr>
            </w:pPr>
          </w:p>
        </w:tc>
        <w:tc>
          <w:tcPr>
            <w:tcW w:w="3987"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熟练掌握项目综合管 理、项目范围管理、 项目时间管理、项目 成本管理、项目质量 管理、项目人力资源 管理、项目沟通管理、 项目风险管理和项目 采购管理思想与方法</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掌握项目综合管理、 项目范围管理、项目 时间管理、项目成本管理、项目质量管理、 项目人力资源管理、 项目沟通管理、项目风险管理和项目采购 管理工具和实施技巧</w:t>
            </w:r>
          </w:p>
        </w:tc>
        <w:tc>
          <w:tcPr>
            <w:tcW w:w="2385"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4</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开发类项目管理技巧</w:t>
            </w:r>
          </w:p>
        </w:tc>
        <w:tc>
          <w:tcPr>
            <w:tcW w:w="3987"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掌握开发类项目管理的特点</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掌握开发类项目生命周期</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正确掌握开发类项目九大管理知识领域特性</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实践一个完整的开发类项目过程</w:t>
            </w:r>
          </w:p>
        </w:tc>
        <w:tc>
          <w:tcPr>
            <w:tcW w:w="2385" w:type="dxa"/>
            <w:vMerge w:val="continue"/>
            <w:vAlign w:val="center"/>
          </w:tcPr>
          <w:p>
            <w:pPr>
              <w:pStyle w:val="5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51"/>
              <w:ind w:firstLine="0" w:firstLineChars="0"/>
              <w:jc w:val="center"/>
              <w:rPr>
                <w:rFonts w:hint="eastAsia" w:ascii="宋体" w:hAnsi="宋体" w:eastAsia="宋体" w:cs="宋体"/>
                <w:sz w:val="18"/>
                <w:szCs w:val="18"/>
              </w:rPr>
            </w:pPr>
            <w:r>
              <w:rPr>
                <w:rFonts w:hint="eastAsia" w:ascii="宋体" w:hAnsi="宋体" w:eastAsia="宋体" w:cs="宋体"/>
                <w:sz w:val="18"/>
                <w:szCs w:val="18"/>
              </w:rPr>
              <w:t>5</w:t>
            </w:r>
          </w:p>
        </w:tc>
        <w:tc>
          <w:tcPr>
            <w:tcW w:w="183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集成类项目管理技巧</w:t>
            </w:r>
          </w:p>
          <w:p>
            <w:pPr>
              <w:pStyle w:val="53"/>
              <w:ind w:firstLine="0" w:firstLineChars="0"/>
              <w:jc w:val="both"/>
              <w:rPr>
                <w:rFonts w:hint="eastAsia" w:ascii="宋体" w:hAnsi="宋体" w:eastAsia="宋体" w:cs="宋体"/>
                <w:sz w:val="18"/>
                <w:szCs w:val="18"/>
              </w:rPr>
            </w:pPr>
          </w:p>
        </w:tc>
        <w:tc>
          <w:tcPr>
            <w:tcW w:w="3987"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掌握集成类项目管理的特点</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掌握集成类项目生命周期</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掌握集成类项目九大管理知识领域特性</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实践一个完整的集成</w:t>
            </w:r>
          </w:p>
        </w:tc>
        <w:tc>
          <w:tcPr>
            <w:tcW w:w="2385" w:type="dxa"/>
            <w:vMerge w:val="continue"/>
            <w:vAlign w:val="center"/>
          </w:tcPr>
          <w:p>
            <w:pPr>
              <w:pStyle w:val="51"/>
              <w:ind w:firstLine="0" w:firstLineChars="0"/>
              <w:jc w:val="both"/>
              <w:rPr>
                <w:rFonts w:hint="eastAsia" w:ascii="宋体" w:hAnsi="宋体" w:eastAsia="宋体" w:cs="宋体"/>
                <w:sz w:val="18"/>
                <w:szCs w:val="18"/>
              </w:rPr>
            </w:pPr>
          </w:p>
        </w:tc>
      </w:tr>
    </w:tbl>
    <w:p>
      <w:pPr>
        <w:pStyle w:val="51"/>
        <w:ind w:left="380" w:firstLine="0" w:firstLineChars="0"/>
      </w:pPr>
    </w:p>
    <w:p>
      <w:pPr>
        <w:pStyle w:val="53"/>
        <w:keepNext w:val="0"/>
        <w:keepLines w:val="0"/>
        <w:pageBreakBefore w:val="0"/>
        <w:widowControl w:val="0"/>
        <w:kinsoku/>
        <w:wordWrap/>
        <w:overflowPunct/>
        <w:topLinePunct w:val="0"/>
        <w:autoSpaceDE/>
        <w:autoSpaceDN/>
        <w:bidi w:val="0"/>
        <w:adjustRightInd/>
        <w:snapToGrid/>
        <w:spacing w:after="160" w:afterLines="50"/>
        <w:ind w:left="378" w:leftChars="0" w:hanging="378" w:hangingChars="180"/>
        <w:textAlignment w:val="auto"/>
        <w:rPr>
          <w:rFonts w:hint="eastAsia" w:ascii="黑体" w:hAnsi="黑体" w:eastAsia="黑体" w:cs="黑体"/>
        </w:rPr>
      </w:pPr>
      <w:r>
        <w:rPr>
          <w:rFonts w:hint="eastAsia" w:ascii="黑体" w:hAnsi="黑体" w:eastAsia="黑体" w:cs="黑体"/>
          <w:sz w:val="21"/>
          <w:szCs w:val="21"/>
          <w:lang w:val="en-US" w:eastAsia="zh-CN"/>
        </w:rPr>
        <w:t>J.3</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.2</w:t>
      </w:r>
      <w:r>
        <w:rPr>
          <w:rFonts w:hint="eastAsia" w:ascii="黑体" w:hAnsi="黑体" w:eastAsia="黑体" w:cs="黑体"/>
          <w:color w:val="000000"/>
        </w:rPr>
        <w:t xml:space="preserve"> </w:t>
      </w:r>
      <w:r>
        <w:rPr>
          <w:rFonts w:hint="eastAsia" w:ascii="黑体" w:hAnsi="黑体" w:eastAsia="黑体" w:cs="黑体"/>
        </w:rPr>
        <w:t>信息安全技术</w:t>
      </w:r>
    </w:p>
    <w:p>
      <w:pPr>
        <w:pStyle w:val="53"/>
        <w:keepNext w:val="0"/>
        <w:keepLines w:val="0"/>
        <w:pageBreakBefore w:val="0"/>
        <w:widowControl w:val="0"/>
        <w:kinsoku/>
        <w:wordWrap/>
        <w:overflowPunct/>
        <w:topLinePunct w:val="0"/>
        <w:autoSpaceDE/>
        <w:autoSpaceDN/>
        <w:bidi w:val="0"/>
        <w:adjustRightInd/>
        <w:snapToGrid/>
        <w:spacing w:after="160" w:afterLines="50"/>
        <w:ind w:left="380" w:firstLine="0" w:firstLineChars="0"/>
        <w:jc w:val="center"/>
        <w:textAlignment w:val="auto"/>
        <w:rPr>
          <w:rFonts w:hint="default" w:ascii="黑体" w:hAnsi="黑体" w:eastAsia="黑体" w:cs="黑体"/>
          <w:lang w:val="en-US" w:eastAsia="zh-CN"/>
        </w:rPr>
      </w:pPr>
      <w:r>
        <w:rPr>
          <w:rFonts w:hint="eastAsia" w:ascii="黑体" w:hAnsi="黑体" w:eastAsia="黑体" w:cs="黑体"/>
          <w:lang w:eastAsia="zh-CN"/>
        </w:rPr>
        <w:t>表</w:t>
      </w:r>
      <w:r>
        <w:rPr>
          <w:rFonts w:hint="eastAsia" w:ascii="黑体" w:hAnsi="黑体" w:eastAsia="黑体" w:cs="黑体"/>
          <w:lang w:val="en-US" w:eastAsia="zh-CN"/>
        </w:rPr>
        <w:t>J.3 信息安全技术课程内容与要求</w:t>
      </w:r>
    </w:p>
    <w:tbl>
      <w:tblPr>
        <w:tblStyle w:val="21"/>
        <w:tblW w:w="898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19"/>
        <w:gridCol w:w="448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975" w:type="dxa"/>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519" w:type="dxa"/>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484" w:type="dxa"/>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2007" w:type="dxa"/>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密码学基础</w:t>
            </w:r>
          </w:p>
        </w:tc>
        <w:tc>
          <w:tcPr>
            <w:tcW w:w="448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18"/>
                <w:szCs w:val="18"/>
              </w:rPr>
            </w:pPr>
            <w:r>
              <w:rPr>
                <w:rFonts w:hint="eastAsia" w:ascii="宋体" w:hAnsi="宋体" w:eastAsia="宋体" w:cs="宋体"/>
                <w:sz w:val="18"/>
                <w:szCs w:val="18"/>
              </w:rPr>
              <w:t>了解密码学发展简史和基本概念</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18"/>
                <w:szCs w:val="18"/>
              </w:rPr>
            </w:pPr>
            <w:r>
              <w:rPr>
                <w:rFonts w:hint="eastAsia" w:ascii="宋体" w:hAnsi="宋体" w:eastAsia="宋体" w:cs="宋体"/>
                <w:sz w:val="18"/>
                <w:szCs w:val="18"/>
              </w:rPr>
              <w:t>掌握密码学算法知识，如对称密码算法、非对称密码算法、哈希函数和数字签名算法</w:t>
            </w:r>
          </w:p>
        </w:tc>
        <w:tc>
          <w:tcPr>
            <w:tcW w:w="2007" w:type="dxa"/>
            <w:vMerge w:val="restart"/>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密码学应用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了解密码学应用基础</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了解公钥基础设施</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掌握虚拟专用网络知识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了解特权管理基础设施</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掌握其他密码应用知识</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鉴别和访问控制</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掌握鉴别的类型、访问控制模型、访问控制技术</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操作系统安全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掌握windows系统安全机制相关知识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掌握Linux系统安全机制相关知识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掌握安全操作系统设计原则</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网络安全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掌握网络安全协议、网络安全设备、网络架构安全知识</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数据库安全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了解数据库系统概念</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掌握数据库安全知识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掌握数据库安全防护方法</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应用安全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了解应用安全概念</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掌握web应用安全、互联网服务安全、办公软件安全等知识</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安全漏洞和恶意代码</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了解安全漏洞的产生和发展</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掌握安全漏洞发现和修复知识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掌握恶意代码的产生和发展、实现技术、防御技术</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安全攻击和防护</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了解信息收集和分析的作用、方法和防范</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了解常见攻击和防范</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掌握后门设置与防范、痕迹清除和防范</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软件安全开发</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熟悉软件安全开发背景</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掌握软件开发模型知识</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掌握软件安全需求和设计</w:t>
            </w:r>
          </w:p>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掌握软件安全测试方法</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975"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1519"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新技术安全</w:t>
            </w:r>
          </w:p>
        </w:tc>
        <w:tc>
          <w:tcPr>
            <w:tcW w:w="4484" w:type="dxa"/>
            <w:vAlign w:val="center"/>
          </w:tcPr>
          <w:p>
            <w:pPr>
              <w:pStyle w:val="53"/>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掌握云计算安全、物联网安全、工业控制安全等知识</w:t>
            </w:r>
          </w:p>
        </w:tc>
        <w:tc>
          <w:tcPr>
            <w:tcW w:w="2007" w:type="dxa"/>
            <w:vMerge w:val="continue"/>
            <w:vAlign w:val="center"/>
          </w:tcPr>
          <w:p>
            <w:pPr>
              <w:pStyle w:val="53"/>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sz w:val="18"/>
                <w:szCs w:val="18"/>
              </w:rPr>
            </w:pPr>
          </w:p>
        </w:tc>
      </w:tr>
    </w:tbl>
    <w:p>
      <w:pPr>
        <w:pStyle w:val="53"/>
        <w:ind w:left="380" w:firstLine="0" w:firstLineChars="0"/>
      </w:pPr>
    </w:p>
    <w:p>
      <w:pPr>
        <w:pStyle w:val="53"/>
        <w:keepNext w:val="0"/>
        <w:keepLines w:val="0"/>
        <w:pageBreakBefore w:val="0"/>
        <w:widowControl w:val="0"/>
        <w:kinsoku/>
        <w:wordWrap/>
        <w:overflowPunct/>
        <w:topLinePunct w:val="0"/>
        <w:autoSpaceDE/>
        <w:autoSpaceDN/>
        <w:bidi w:val="0"/>
        <w:adjustRightInd/>
        <w:snapToGrid/>
        <w:spacing w:after="160" w:afterLines="50"/>
        <w:ind w:left="443" w:leftChars="0" w:hanging="443" w:hangingChars="211"/>
        <w:jc w:val="left"/>
        <w:textAlignment w:val="auto"/>
        <w:rPr>
          <w:rFonts w:hint="eastAsia" w:ascii="黑体" w:hAnsi="黑体" w:eastAsia="黑体" w:cs="黑体"/>
          <w:sz w:val="21"/>
          <w:szCs w:val="21"/>
        </w:rPr>
      </w:pPr>
      <w:r>
        <w:rPr>
          <w:rFonts w:hint="eastAsia" w:ascii="黑体" w:hAnsi="黑体" w:eastAsia="黑体" w:cs="黑体"/>
          <w:color w:val="000000"/>
          <w:sz w:val="21"/>
          <w:szCs w:val="21"/>
          <w:lang w:val="en-US" w:eastAsia="zh-CN"/>
        </w:rPr>
        <w:t>J.3.3</w:t>
      </w:r>
      <w:r>
        <w:rPr>
          <w:rFonts w:hint="eastAsia" w:ascii="黑体" w:hAnsi="黑体" w:eastAsia="黑体" w:cs="黑体"/>
          <w:color w:val="000000"/>
          <w:sz w:val="21"/>
          <w:szCs w:val="21"/>
        </w:rPr>
        <w:t xml:space="preserve"> 信息</w:t>
      </w:r>
      <w:r>
        <w:rPr>
          <w:rFonts w:hint="eastAsia" w:ascii="黑体" w:hAnsi="黑体" w:eastAsia="黑体" w:cs="黑体"/>
          <w:sz w:val="21"/>
          <w:szCs w:val="21"/>
        </w:rPr>
        <w:t>安全集成</w:t>
      </w:r>
    </w:p>
    <w:p>
      <w:pPr>
        <w:pStyle w:val="53"/>
        <w:keepNext w:val="0"/>
        <w:keepLines w:val="0"/>
        <w:pageBreakBefore w:val="0"/>
        <w:widowControl w:val="0"/>
        <w:kinsoku/>
        <w:wordWrap/>
        <w:overflowPunct/>
        <w:topLinePunct w:val="0"/>
        <w:autoSpaceDE/>
        <w:autoSpaceDN/>
        <w:bidi w:val="0"/>
        <w:adjustRightInd/>
        <w:snapToGrid/>
        <w:spacing w:after="160" w:afterLines="50"/>
        <w:ind w:left="443" w:leftChars="0" w:hanging="443" w:hangingChars="211"/>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表J.4 信息安全集成课程内容与要求</w:t>
      </w:r>
    </w:p>
    <w:tbl>
      <w:tblPr>
        <w:tblStyle w:val="21"/>
        <w:tblW w:w="904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92"/>
        <w:gridCol w:w="4288"/>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892"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288"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965"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892" w:type="dxa"/>
            <w:vAlign w:val="center"/>
          </w:tcPr>
          <w:p>
            <w:pPr>
              <w:pStyle w:val="1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ascii="宋体" w:hAnsi="宋体" w:eastAsia="宋体" w:cs="宋体"/>
                <w:sz w:val="18"/>
                <w:szCs w:val="18"/>
              </w:rPr>
            </w:pPr>
            <w:r>
              <w:rPr>
                <w:rFonts w:hint="eastAsia" w:ascii="宋体" w:hAnsi="宋体" w:eastAsia="宋体" w:cs="宋体"/>
                <w:sz w:val="18"/>
                <w:szCs w:val="18"/>
              </w:rPr>
              <w:t>安全集成的业界标准与实践</w:t>
            </w:r>
          </w:p>
          <w:p>
            <w:pPr>
              <w:pStyle w:val="53"/>
              <w:ind w:firstLine="0" w:firstLineChars="0"/>
              <w:jc w:val="both"/>
              <w:rPr>
                <w:rFonts w:hint="eastAsia" w:ascii="宋体" w:hAnsi="宋体" w:eastAsia="宋体" w:cs="宋体"/>
                <w:sz w:val="18"/>
                <w:szCs w:val="18"/>
              </w:rPr>
            </w:pPr>
          </w:p>
        </w:tc>
        <w:tc>
          <w:tcPr>
            <w:tcW w:w="4288"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 GB/T 20261 对安全集成的要求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 ISO/IEC 21827对安全集成的要求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 SSE-CMM3.0 对安全集成的要求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掌握信息系统安全集成服务资质认证实施规则对安全集成的要求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 CNCA/CTS 0052 信息安全服务资质认证技术规范 </w:t>
            </w:r>
          </w:p>
        </w:tc>
        <w:tc>
          <w:tcPr>
            <w:tcW w:w="1965" w:type="dxa"/>
            <w:vMerge w:val="restart"/>
            <w:vAlign w:val="center"/>
          </w:tcPr>
          <w:p>
            <w:pPr>
              <w:pStyle w:val="53"/>
              <w:widowControl w:val="0"/>
              <w:ind w:firstLine="0" w:firstLineChars="0"/>
              <w:jc w:val="both"/>
              <w:rPr>
                <w:rFonts w:hint="eastAsia" w:ascii="宋体" w:hAnsi="宋体" w:eastAsia="宋体" w:cs="宋体"/>
                <w:sz w:val="18"/>
                <w:szCs w:val="18"/>
              </w:rPr>
            </w:pPr>
            <w:r>
              <w:rPr>
                <w:rFonts w:hint="eastAsia" w:ascii="宋体" w:hAnsi="宋体" w:eastAsia="宋体" w:cs="宋体"/>
                <w:sz w:val="18"/>
                <w:szCs w:val="18"/>
              </w:rPr>
              <w:t>《信息安全集成》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892" w:type="dxa"/>
            <w:vAlign w:val="center"/>
          </w:tcPr>
          <w:p>
            <w:pPr>
              <w:pStyle w:val="18"/>
              <w:shd w:val="clear" w:color="auto" w:fill="FFFFFF"/>
              <w:jc w:val="both"/>
              <w:rPr>
                <w:rFonts w:hint="eastAsia" w:ascii="宋体" w:hAnsi="宋体" w:eastAsia="宋体" w:cs="宋体"/>
                <w:sz w:val="18"/>
                <w:szCs w:val="18"/>
              </w:rPr>
            </w:pPr>
            <w:r>
              <w:rPr>
                <w:rFonts w:hint="eastAsia" w:ascii="宋体" w:hAnsi="宋体" w:eastAsia="宋体" w:cs="宋体"/>
                <w:sz w:val="18"/>
                <w:szCs w:val="18"/>
              </w:rPr>
              <w:t xml:space="preserve">安全集成过程 </w:t>
            </w:r>
          </w:p>
          <w:p>
            <w:pPr>
              <w:pStyle w:val="53"/>
              <w:ind w:firstLine="0" w:firstLineChars="0"/>
              <w:jc w:val="both"/>
              <w:rPr>
                <w:rFonts w:hint="eastAsia" w:ascii="宋体" w:hAnsi="宋体" w:eastAsia="宋体" w:cs="宋体"/>
                <w:sz w:val="18"/>
                <w:szCs w:val="18"/>
              </w:rPr>
            </w:pPr>
          </w:p>
        </w:tc>
        <w:tc>
          <w:tcPr>
            <w:tcW w:w="4288"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掌握安全软件集成管 理的全过程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掌握安全集成准备工作(如需求分析)的主要方法</w:t>
            </w:r>
            <w:r>
              <w:rPr>
                <w:rFonts w:hint="eastAsia" w:ascii="宋体" w:hAnsi="宋体" w:eastAsia="宋体" w:cs="宋体"/>
                <w:sz w:val="18"/>
                <w:szCs w:val="18"/>
              </w:rPr>
              <w:br w:type="textWrapping"/>
            </w:r>
            <w:r>
              <w:rPr>
                <w:rFonts w:hint="eastAsia" w:ascii="宋体" w:hAnsi="宋体" w:eastAsia="宋体" w:cs="宋体"/>
                <w:sz w:val="18"/>
                <w:szCs w:val="18"/>
              </w:rPr>
              <w:t>掌握安全集成设计的主要方法</w:t>
            </w:r>
            <w:r>
              <w:rPr>
                <w:rFonts w:hint="eastAsia" w:ascii="宋体" w:hAnsi="宋体" w:eastAsia="宋体" w:cs="宋体"/>
                <w:sz w:val="18"/>
                <w:szCs w:val="18"/>
              </w:rPr>
              <w:br w:type="textWrapping"/>
            </w:r>
            <w:r>
              <w:rPr>
                <w:rFonts w:hint="eastAsia" w:ascii="宋体" w:hAnsi="宋体" w:eastAsia="宋体" w:cs="宋体"/>
                <w:sz w:val="18"/>
                <w:szCs w:val="18"/>
              </w:rPr>
              <w:t>掌握安全集成实施的主要工作</w:t>
            </w:r>
            <w:r>
              <w:rPr>
                <w:rFonts w:hint="eastAsia" w:ascii="宋体" w:hAnsi="宋体" w:eastAsia="宋体" w:cs="宋体"/>
                <w:sz w:val="18"/>
                <w:szCs w:val="18"/>
              </w:rPr>
              <w:br w:type="textWrapping"/>
            </w:r>
            <w:r>
              <w:rPr>
                <w:rFonts w:hint="eastAsia" w:ascii="宋体" w:hAnsi="宋体" w:eastAsia="宋体" w:cs="宋体"/>
                <w:sz w:val="18"/>
                <w:szCs w:val="18"/>
              </w:rPr>
              <w:t xml:space="preserve">掌握安全集成保证的主要内容 </w:t>
            </w:r>
          </w:p>
        </w:tc>
        <w:tc>
          <w:tcPr>
            <w:tcW w:w="1965" w:type="dxa"/>
            <w:vMerge w:val="continue"/>
            <w:vAlign w:val="center"/>
          </w:tcPr>
          <w:p>
            <w:pPr>
              <w:pStyle w:val="53"/>
              <w:widowControl w:val="0"/>
              <w:ind w:firstLine="48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892" w:type="dxa"/>
            <w:vAlign w:val="center"/>
          </w:tcPr>
          <w:p>
            <w:pPr>
              <w:pStyle w:val="18"/>
              <w:shd w:val="clear" w:color="auto" w:fill="FFFFFF"/>
              <w:jc w:val="both"/>
              <w:rPr>
                <w:rFonts w:hint="eastAsia" w:ascii="宋体" w:hAnsi="宋体" w:eastAsia="宋体" w:cs="宋体"/>
                <w:sz w:val="18"/>
                <w:szCs w:val="18"/>
              </w:rPr>
            </w:pPr>
            <w:r>
              <w:rPr>
                <w:rFonts w:hint="eastAsia" w:ascii="宋体" w:hAnsi="宋体" w:eastAsia="宋体" w:cs="宋体"/>
                <w:sz w:val="18"/>
                <w:szCs w:val="18"/>
              </w:rPr>
              <w:t>安全集成 工具使用</w:t>
            </w:r>
          </w:p>
        </w:tc>
        <w:tc>
          <w:tcPr>
            <w:tcW w:w="4288" w:type="dxa"/>
            <w:vAlign w:val="center"/>
          </w:tcPr>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熟悉典型的安全集成工具;</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熟悉需求分析工具使用；</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熟悉安全集成设计工具使用 ；</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熟悉安全保证工具使用 ；</w:t>
            </w:r>
          </w:p>
        </w:tc>
        <w:tc>
          <w:tcPr>
            <w:tcW w:w="1965" w:type="dxa"/>
            <w:vMerge w:val="continue"/>
            <w:vAlign w:val="center"/>
          </w:tcPr>
          <w:p>
            <w:pPr>
              <w:pStyle w:val="53"/>
              <w:ind w:firstLine="48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892" w:type="dxa"/>
            <w:vAlign w:val="center"/>
          </w:tcPr>
          <w:p>
            <w:pPr>
              <w:pStyle w:val="18"/>
              <w:shd w:val="clear" w:color="auto" w:fill="FFFFFF"/>
              <w:jc w:val="both"/>
              <w:rPr>
                <w:rFonts w:hint="eastAsia" w:ascii="宋体" w:hAnsi="宋体" w:eastAsia="宋体" w:cs="宋体"/>
                <w:sz w:val="18"/>
                <w:szCs w:val="18"/>
              </w:rPr>
            </w:pPr>
            <w:r>
              <w:rPr>
                <w:rFonts w:hint="eastAsia" w:ascii="宋体" w:hAnsi="宋体" w:eastAsia="宋体" w:cs="宋体"/>
                <w:sz w:val="18"/>
                <w:szCs w:val="18"/>
              </w:rPr>
              <w:t>典型安全保障手段</w:t>
            </w:r>
          </w:p>
        </w:tc>
        <w:tc>
          <w:tcPr>
            <w:tcW w:w="4288" w:type="dxa"/>
            <w:vAlign w:val="center"/>
          </w:tcPr>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熟悉典型的信息安全保障手段 </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熟悉常用的信息安全技术应用 </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熟悉常用的信息安全产品 </w:t>
            </w:r>
          </w:p>
        </w:tc>
        <w:tc>
          <w:tcPr>
            <w:tcW w:w="1965" w:type="dxa"/>
            <w:vMerge w:val="continue"/>
            <w:vAlign w:val="center"/>
          </w:tcPr>
          <w:p>
            <w:pPr>
              <w:pStyle w:val="53"/>
              <w:ind w:firstLine="0" w:firstLineChars="0"/>
              <w:jc w:val="both"/>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ind w:firstLine="0" w:firstLineChars="0"/>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1892" w:type="dxa"/>
            <w:vAlign w:val="center"/>
          </w:tcPr>
          <w:p>
            <w:pPr>
              <w:pStyle w:val="1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安全集成实例 </w:t>
            </w:r>
          </w:p>
          <w:p>
            <w:pPr>
              <w:pStyle w:val="53"/>
              <w:ind w:firstLine="0" w:firstLineChars="0"/>
              <w:jc w:val="both"/>
              <w:rPr>
                <w:rFonts w:hint="eastAsia" w:ascii="宋体" w:hAnsi="宋体" w:eastAsia="宋体" w:cs="宋体"/>
                <w:sz w:val="18"/>
                <w:szCs w:val="18"/>
              </w:rPr>
            </w:pPr>
          </w:p>
        </w:tc>
        <w:tc>
          <w:tcPr>
            <w:tcW w:w="4288" w:type="dxa"/>
            <w:vAlign w:val="center"/>
          </w:tcPr>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熟悉安全集成方案的结构 </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熟悉主要行业的安全集成特性 </w:t>
            </w:r>
          </w:p>
          <w:p>
            <w:pPr>
              <w:pStyle w:val="18"/>
              <w:shd w:val="clear" w:color="auto" w:fill="FFFFFF"/>
              <w:spacing w:before="0" w:beforeAutospacing="0" w:after="0" w:afterAutospacing="0"/>
              <w:jc w:val="both"/>
              <w:rPr>
                <w:rFonts w:hint="eastAsia" w:ascii="宋体" w:hAnsi="宋体" w:eastAsia="宋体" w:cs="宋体"/>
                <w:sz w:val="18"/>
                <w:szCs w:val="18"/>
              </w:rPr>
            </w:pPr>
            <w:r>
              <w:rPr>
                <w:rFonts w:hint="eastAsia" w:ascii="宋体" w:hAnsi="宋体" w:eastAsia="宋体" w:cs="宋体"/>
                <w:sz w:val="18"/>
                <w:szCs w:val="18"/>
              </w:rPr>
              <w:t xml:space="preserve">理解 1-2 个行业的典型安全集成实例 </w:t>
            </w:r>
          </w:p>
        </w:tc>
        <w:tc>
          <w:tcPr>
            <w:tcW w:w="1965" w:type="dxa"/>
            <w:vMerge w:val="continue"/>
            <w:vAlign w:val="center"/>
          </w:tcPr>
          <w:p>
            <w:pPr>
              <w:pStyle w:val="53"/>
              <w:ind w:firstLine="0" w:firstLineChars="0"/>
              <w:jc w:val="both"/>
              <w:rPr>
                <w:rFonts w:hint="eastAsia" w:ascii="宋体" w:hAnsi="宋体" w:eastAsia="宋体" w:cs="宋体"/>
                <w:color w:val="000000"/>
                <w:sz w:val="18"/>
                <w:szCs w:val="18"/>
              </w:rPr>
            </w:pPr>
          </w:p>
        </w:tc>
      </w:tr>
    </w:tbl>
    <w:p>
      <w:pPr>
        <w:pStyle w:val="53"/>
        <w:ind w:left="380" w:firstLine="0" w:firstLineChars="0"/>
        <w:rPr>
          <w:rFonts w:ascii="宋体" w:hAnsi="宋体"/>
        </w:rPr>
      </w:pPr>
    </w:p>
    <w:p>
      <w:pPr>
        <w:pStyle w:val="53"/>
        <w:keepNext w:val="0"/>
        <w:keepLines w:val="0"/>
        <w:pageBreakBefore w:val="0"/>
        <w:widowControl w:val="0"/>
        <w:kinsoku/>
        <w:wordWrap/>
        <w:overflowPunct/>
        <w:topLinePunct w:val="0"/>
        <w:autoSpaceDE/>
        <w:autoSpaceDN/>
        <w:bidi w:val="0"/>
        <w:adjustRightInd/>
        <w:snapToGrid/>
        <w:spacing w:line="360" w:lineRule="auto"/>
        <w:ind w:left="361" w:leftChars="0" w:hanging="361" w:hangingChars="172"/>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 xml:space="preserve">J.3.4 </w:t>
      </w:r>
      <w:r>
        <w:rPr>
          <w:rFonts w:hint="eastAsia" w:ascii="黑体" w:hAnsi="黑体" w:eastAsia="黑体" w:cs="黑体"/>
          <w:sz w:val="21"/>
          <w:szCs w:val="21"/>
        </w:rPr>
        <w:t>通信技术基础</w:t>
      </w:r>
    </w:p>
    <w:p>
      <w:pPr>
        <w:pStyle w:val="53"/>
        <w:keepNext w:val="0"/>
        <w:keepLines w:val="0"/>
        <w:pageBreakBefore w:val="0"/>
        <w:widowControl w:val="0"/>
        <w:kinsoku/>
        <w:wordWrap/>
        <w:overflowPunct/>
        <w:topLinePunct w:val="0"/>
        <w:autoSpaceDE/>
        <w:autoSpaceDN/>
        <w:bidi w:val="0"/>
        <w:adjustRightInd/>
        <w:snapToGrid/>
        <w:spacing w:after="160" w:afterLines="50" w:line="360" w:lineRule="auto"/>
        <w:ind w:left="378" w:leftChars="0" w:hanging="378" w:hangingChars="172"/>
        <w:jc w:val="center"/>
        <w:textAlignment w:val="auto"/>
        <w:rPr>
          <w:rFonts w:hint="default" w:ascii="黑体" w:hAnsi="黑体" w:eastAsia="黑体" w:cs="黑体"/>
          <w:sz w:val="22"/>
          <w:szCs w:val="22"/>
          <w:lang w:val="en-US" w:eastAsia="zh-CN"/>
        </w:rPr>
      </w:pPr>
      <w:r>
        <w:rPr>
          <w:rFonts w:hint="eastAsia" w:ascii="黑体" w:hAnsi="黑体" w:eastAsia="黑体" w:cs="黑体"/>
          <w:sz w:val="22"/>
          <w:szCs w:val="22"/>
          <w:lang w:eastAsia="zh-CN"/>
        </w:rPr>
        <w:t>表</w:t>
      </w:r>
      <w:r>
        <w:rPr>
          <w:rFonts w:hint="eastAsia" w:ascii="黑体" w:hAnsi="黑体" w:eastAsia="黑体" w:cs="黑体"/>
          <w:sz w:val="22"/>
          <w:szCs w:val="22"/>
          <w:lang w:val="en-US" w:eastAsia="zh-CN"/>
        </w:rPr>
        <w:t>J.5 通信技术基础课程内容与要求</w:t>
      </w:r>
    </w:p>
    <w:tbl>
      <w:tblPr>
        <w:tblStyle w:val="21"/>
        <w:tblW w:w="898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0"/>
        <w:gridCol w:w="1757"/>
        <w:gridCol w:w="4303"/>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gridSpan w:val="2"/>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章节号</w:t>
            </w:r>
          </w:p>
        </w:tc>
        <w:tc>
          <w:tcPr>
            <w:tcW w:w="1757"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章节名</w:t>
            </w:r>
          </w:p>
        </w:tc>
        <w:tc>
          <w:tcPr>
            <w:tcW w:w="4303"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内容与要求</w:t>
            </w:r>
          </w:p>
        </w:tc>
        <w:tc>
          <w:tcPr>
            <w:tcW w:w="1935" w:type="dxa"/>
            <w:vAlign w:val="center"/>
          </w:tcPr>
          <w:p>
            <w:pPr>
              <w:pStyle w:val="53"/>
              <w:ind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1</w:t>
            </w:r>
          </w:p>
        </w:tc>
        <w:tc>
          <w:tcPr>
            <w:tcW w:w="1907" w:type="dxa"/>
            <w:gridSpan w:val="2"/>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通信的基本概念 </w:t>
            </w:r>
          </w:p>
          <w:p>
            <w:pPr>
              <w:pStyle w:val="53"/>
              <w:ind w:firstLine="0" w:firstLineChars="0"/>
              <w:jc w:val="both"/>
              <w:rPr>
                <w:rFonts w:hint="eastAsia" w:ascii="宋体" w:hAnsi="宋体" w:eastAsia="宋体" w:cs="宋体"/>
                <w:sz w:val="18"/>
                <w:szCs w:val="18"/>
              </w:rPr>
            </w:pPr>
          </w:p>
        </w:tc>
        <w:tc>
          <w:tcPr>
            <w:tcW w:w="430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理解通信的本质含义及电信概念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理解通信网络形成过程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了解通信网络结构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了解通信网络中的安全属性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.了解通信网络应用分类</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了解“网络”习惯分类</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了解通信网络安全问题本质成因 </w:t>
            </w:r>
          </w:p>
        </w:tc>
        <w:tc>
          <w:tcPr>
            <w:tcW w:w="1935" w:type="dxa"/>
            <w:vMerge w:val="restart"/>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《通信技术基础》</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各类通信原理相 关书籍 </w:t>
            </w:r>
          </w:p>
          <w:p>
            <w:pPr>
              <w:pStyle w:val="53"/>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2</w:t>
            </w:r>
          </w:p>
        </w:tc>
        <w:tc>
          <w:tcPr>
            <w:tcW w:w="1907" w:type="dxa"/>
            <w:gridSpan w:val="2"/>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通信协议及应用 </w:t>
            </w:r>
          </w:p>
          <w:p>
            <w:pPr>
              <w:pStyle w:val="53"/>
              <w:ind w:firstLine="0" w:firstLineChars="0"/>
              <w:jc w:val="both"/>
              <w:rPr>
                <w:rFonts w:hint="eastAsia" w:ascii="宋体" w:hAnsi="宋体" w:eastAsia="宋体" w:cs="宋体"/>
                <w:sz w:val="18"/>
                <w:szCs w:val="18"/>
              </w:rPr>
            </w:pPr>
          </w:p>
        </w:tc>
        <w:tc>
          <w:tcPr>
            <w:tcW w:w="430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 熟悉 OSI 七层模型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熟悉 TCP/IP 协议族的基本协议及</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TCP/IP 协议族存在的固有安全问题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 熟悉 IPv6、移动互联网等技术及应用 </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 了解典型的通信网络及设备 </w:t>
            </w:r>
          </w:p>
        </w:tc>
        <w:tc>
          <w:tcPr>
            <w:tcW w:w="1935" w:type="dxa"/>
            <w:vMerge w:val="continue"/>
            <w:vAlign w:val="center"/>
          </w:tcPr>
          <w:p>
            <w:pPr>
              <w:pStyle w:val="53"/>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Align w:val="center"/>
          </w:tcPr>
          <w:p>
            <w:pPr>
              <w:pStyle w:val="53"/>
              <w:ind w:firstLine="0" w:firstLineChars="0"/>
              <w:jc w:val="center"/>
              <w:rPr>
                <w:rFonts w:hint="eastAsia" w:ascii="宋体" w:hAnsi="宋体" w:eastAsia="宋体" w:cs="宋体"/>
                <w:sz w:val="18"/>
                <w:szCs w:val="18"/>
              </w:rPr>
            </w:pPr>
            <w:r>
              <w:rPr>
                <w:rFonts w:hint="eastAsia" w:ascii="宋体" w:hAnsi="宋体" w:eastAsia="宋体" w:cs="宋体"/>
                <w:sz w:val="18"/>
                <w:szCs w:val="18"/>
              </w:rPr>
              <w:t>3</w:t>
            </w:r>
          </w:p>
        </w:tc>
        <w:tc>
          <w:tcPr>
            <w:tcW w:w="1907" w:type="dxa"/>
            <w:gridSpan w:val="2"/>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安全通信协议 </w:t>
            </w:r>
          </w:p>
          <w:p>
            <w:pPr>
              <w:pStyle w:val="53"/>
              <w:ind w:firstLine="0" w:firstLineChars="0"/>
              <w:jc w:val="both"/>
              <w:rPr>
                <w:rFonts w:hint="eastAsia" w:ascii="宋体" w:hAnsi="宋体" w:eastAsia="宋体" w:cs="宋体"/>
                <w:sz w:val="18"/>
                <w:szCs w:val="18"/>
              </w:rPr>
            </w:pPr>
          </w:p>
        </w:tc>
        <w:tc>
          <w:tcPr>
            <w:tcW w:w="4303" w:type="dxa"/>
            <w:vAlign w:val="center"/>
          </w:tcPr>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了解典型的安全通信协议</w:t>
            </w:r>
          </w:p>
          <w:p>
            <w:pPr>
              <w:pStyle w:val="53"/>
              <w:ind w:firstLine="0" w:firstLineChars="0"/>
              <w:jc w:val="both"/>
              <w:rPr>
                <w:rFonts w:hint="eastAsia" w:ascii="宋体" w:hAnsi="宋体" w:eastAsia="宋体" w:cs="宋体"/>
                <w:sz w:val="18"/>
                <w:szCs w:val="18"/>
              </w:rPr>
            </w:pPr>
            <w:r>
              <w:rPr>
                <w:rFonts w:hint="eastAsia" w:ascii="宋体" w:hAnsi="宋体" w:eastAsia="宋体" w:cs="宋体"/>
                <w:sz w:val="18"/>
                <w:szCs w:val="18"/>
              </w:rPr>
              <w:t xml:space="preserve">了解典型的安全通信协议在通信过程中的应用 </w:t>
            </w:r>
          </w:p>
        </w:tc>
        <w:tc>
          <w:tcPr>
            <w:tcW w:w="1935" w:type="dxa"/>
            <w:vMerge w:val="continue"/>
            <w:vAlign w:val="center"/>
          </w:tcPr>
          <w:p>
            <w:pPr>
              <w:pStyle w:val="53"/>
              <w:ind w:firstLine="0" w:firstLineChars="0"/>
              <w:jc w:val="both"/>
              <w:rPr>
                <w:rFonts w:hint="eastAsia" w:ascii="宋体" w:hAnsi="宋体" w:eastAsia="宋体" w:cs="宋体"/>
                <w:sz w:val="18"/>
                <w:szCs w:val="18"/>
              </w:rPr>
            </w:pPr>
          </w:p>
        </w:tc>
      </w:tr>
    </w:tbl>
    <w:p>
      <w:pPr>
        <w:pStyle w:val="53"/>
        <w:ind w:firstLine="0" w:firstLineChars="0"/>
        <w:jc w:val="center"/>
        <w:rPr>
          <w:rFonts w:hint="eastAsia"/>
        </w:rPr>
      </w:pPr>
    </w:p>
    <w:p>
      <w:pPr>
        <w:pStyle w:val="51"/>
        <w:spacing w:line="360" w:lineRule="auto"/>
        <w:ind w:firstLine="0" w:firstLineChars="0"/>
        <w:rPr>
          <w:rFonts w:hint="eastAsia" w:ascii="黑体" w:hAnsi="黑体" w:eastAsia="黑体" w:cs="黑体"/>
          <w:b w:val="0"/>
          <w:bCs w:val="0"/>
        </w:rPr>
      </w:pPr>
      <w:r>
        <w:rPr>
          <w:rFonts w:hint="eastAsia" w:ascii="黑体" w:hAnsi="黑体" w:eastAsia="黑体" w:cs="黑体"/>
          <w:b w:val="0"/>
          <w:bCs w:val="0"/>
          <w:sz w:val="22"/>
          <w:szCs w:val="22"/>
          <w:lang w:val="en-US" w:eastAsia="zh-CN"/>
        </w:rPr>
        <w:t xml:space="preserve">J.4 </w:t>
      </w:r>
      <w:r>
        <w:rPr>
          <w:rFonts w:hint="eastAsia" w:ascii="黑体" w:hAnsi="黑体" w:eastAsia="黑体" w:cs="黑体"/>
          <w:b w:val="0"/>
          <w:bCs w:val="0"/>
        </w:rPr>
        <w:t>考试说明</w:t>
      </w:r>
    </w:p>
    <w:p>
      <w:pPr>
        <w:spacing w:line="360" w:lineRule="auto"/>
        <w:rPr>
          <w:rFonts w:hint="eastAsia"/>
          <w:szCs w:val="21"/>
        </w:rPr>
      </w:pPr>
      <w:r>
        <w:rPr>
          <w:rFonts w:hint="eastAsia"/>
          <w:szCs w:val="21"/>
          <w:lang w:val="en-US" w:eastAsia="zh-CN"/>
        </w:rPr>
        <w:t>J.4.1</w:t>
      </w:r>
      <w:r>
        <w:rPr>
          <w:szCs w:val="21"/>
        </w:rPr>
        <w:t xml:space="preserve"> </w:t>
      </w:r>
      <w:r>
        <w:rPr>
          <w:rFonts w:hint="eastAsia"/>
          <w:szCs w:val="21"/>
        </w:rPr>
        <w:t>题型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eastAsiaTheme="minorEastAsia"/>
          <w:szCs w:val="21"/>
          <w:lang w:val="en-US" w:eastAsia="zh-CN"/>
        </w:rPr>
      </w:pPr>
      <w:r>
        <w:rPr>
          <w:rFonts w:hint="eastAsia"/>
          <w:szCs w:val="21"/>
          <w:lang w:val="en-US" w:eastAsia="zh-CN"/>
        </w:rPr>
        <w:t>表J.6 题型</w:t>
      </w:r>
    </w:p>
    <w:tbl>
      <w:tblPr>
        <w:tblStyle w:val="21"/>
        <w:tblW w:w="901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72"/>
        <w:gridCol w:w="2073"/>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题型</w:t>
            </w:r>
          </w:p>
        </w:tc>
        <w:tc>
          <w:tcPr>
            <w:tcW w:w="2072"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数量</w:t>
            </w:r>
          </w:p>
        </w:tc>
        <w:tc>
          <w:tcPr>
            <w:tcW w:w="2073"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单题分值（分）</w:t>
            </w:r>
          </w:p>
        </w:tc>
        <w:tc>
          <w:tcPr>
            <w:tcW w:w="2945" w:type="dxa"/>
          </w:tcPr>
          <w:p>
            <w:pPr>
              <w:spacing w:line="360" w:lineRule="auto"/>
              <w:jc w:val="center"/>
              <w:rPr>
                <w:rFonts w:hint="eastAsia" w:ascii="黑体" w:hAnsi="黑体" w:eastAsia="黑体" w:cs="黑体"/>
                <w:sz w:val="21"/>
                <w:szCs w:val="21"/>
              </w:rPr>
            </w:pPr>
            <w:r>
              <w:rPr>
                <w:rFonts w:hint="eastAsia" w:ascii="黑体" w:hAnsi="黑体" w:eastAsia="黑体" w:cs="黑体"/>
                <w:sz w:val="21"/>
                <w:szCs w:val="21"/>
              </w:rPr>
              <w:t>小计分值（分）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92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单项选择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94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多项选择</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294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判断题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94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问答题</w:t>
            </w:r>
          </w:p>
        </w:tc>
        <w:tc>
          <w:tcPr>
            <w:tcW w:w="2072"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c>
          <w:tcPr>
            <w:tcW w:w="2073"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10</w:t>
            </w:r>
          </w:p>
        </w:tc>
        <w:tc>
          <w:tcPr>
            <w:tcW w:w="2945" w:type="dxa"/>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20</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textAlignment w:val="auto"/>
        <w:rPr>
          <w:rFonts w:hint="eastAsia" w:ascii="黑体" w:hAnsi="黑体" w:eastAsia="黑体" w:cs="黑体"/>
          <w:szCs w:val="21"/>
        </w:rPr>
      </w:pPr>
      <w:r>
        <w:rPr>
          <w:rFonts w:hint="eastAsia" w:ascii="黑体" w:hAnsi="黑体" w:eastAsia="黑体" w:cs="黑体"/>
          <w:szCs w:val="21"/>
          <w:lang w:val="en-US" w:eastAsia="zh-CN"/>
        </w:rPr>
        <w:t>J.4.2</w:t>
      </w:r>
      <w:r>
        <w:rPr>
          <w:rFonts w:hint="eastAsia" w:ascii="黑体" w:hAnsi="黑体" w:eastAsia="黑体" w:cs="黑体"/>
          <w:szCs w:val="21"/>
        </w:rPr>
        <w:t xml:space="preserve"> 考试时间</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Cs w:val="21"/>
        </w:rPr>
      </w:pPr>
      <w:r>
        <w:rPr>
          <w:rFonts w:hint="eastAsia" w:ascii="宋体" w:hAnsi="宋体" w:eastAsia="宋体" w:cs="宋体"/>
          <w:szCs w:val="21"/>
        </w:rPr>
        <w:t>总考试时间为120分钟，提前15分钟进入考场，迟到30分钟以上的视为放弃考试，考试开始后30分钟内离场的成绩无效。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J.4.3 考试合格标准</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考试满分为100分，考试成绩</w:t>
      </w:r>
      <w:r>
        <w:rPr>
          <w:rFonts w:hint="eastAsia" w:ascii="宋体" w:hAnsi="宋体" w:eastAsia="宋体" w:cs="宋体"/>
          <w:szCs w:val="21"/>
          <w:lang w:val="en-US" w:eastAsia="zh-CN"/>
        </w:rPr>
        <w:t>60</w:t>
      </w:r>
      <w:r>
        <w:rPr>
          <w:rFonts w:hint="eastAsia" w:ascii="宋体" w:hAnsi="宋体" w:eastAsia="宋体" w:cs="宋体"/>
          <w:szCs w:val="21"/>
        </w:rPr>
        <w:t>分以上为合格</w:t>
      </w:r>
      <w:r>
        <w:rPr>
          <w:rFonts w:hint="eastAsia" w:ascii="宋体" w:hAnsi="宋体" w:eastAsia="宋体" w:cs="宋体"/>
          <w:szCs w:val="21"/>
          <w:lang w:eastAsia="zh-CN"/>
        </w:rPr>
        <w:t>。</w:t>
      </w:r>
    </w:p>
    <w:p/>
    <w:p/>
    <w:p/>
    <w:p/>
    <w:p/>
    <w:p>
      <w:pPr>
        <w:keepNext w:val="0"/>
        <w:keepLines w:val="0"/>
        <w:pageBreakBefore w:val="0"/>
        <w:widowControl w:val="0"/>
        <w:kinsoku/>
        <w:wordWrap/>
        <w:overflowPunct/>
        <w:topLinePunct w:val="0"/>
        <w:autoSpaceDE/>
        <w:autoSpaceDN/>
        <w:bidi w:val="0"/>
        <w:adjustRightInd/>
        <w:snapToGrid/>
        <w:spacing w:before="850" w:after="283"/>
        <w:jc w:val="center"/>
        <w:textAlignment w:val="auto"/>
        <w:outlineLvl w:val="0"/>
        <w:rPr>
          <w:rFonts w:hint="eastAsia" w:ascii="黑体" w:hAnsi="黑体" w:eastAsia="黑体" w:cs="黑体"/>
          <w:lang w:eastAsia="zh-CN"/>
        </w:rPr>
      </w:pPr>
      <w:r>
        <w:rPr>
          <w:rFonts w:hint="eastAsia" w:ascii="黑体" w:hAnsi="黑体" w:eastAsia="黑体" w:cs="黑体"/>
          <w:lang w:eastAsia="zh-CN"/>
        </w:rPr>
        <w:t>参</w:t>
      </w:r>
      <w:r>
        <w:rPr>
          <w:rFonts w:hint="eastAsia" w:ascii="黑体" w:hAnsi="黑体" w:eastAsia="黑体" w:cs="黑体"/>
          <w:lang w:val="en-US" w:eastAsia="zh-CN"/>
        </w:rPr>
        <w:t xml:space="preserve"> </w:t>
      </w:r>
      <w:r>
        <w:rPr>
          <w:rFonts w:hint="eastAsia" w:ascii="黑体" w:hAnsi="黑体" w:eastAsia="黑体" w:cs="黑体"/>
          <w:lang w:eastAsia="zh-CN"/>
        </w:rPr>
        <w:t>考</w:t>
      </w:r>
      <w:r>
        <w:rPr>
          <w:rFonts w:hint="eastAsia" w:ascii="黑体" w:hAnsi="黑体" w:eastAsia="黑体" w:cs="黑体"/>
          <w:lang w:val="en-US" w:eastAsia="zh-CN"/>
        </w:rPr>
        <w:t xml:space="preserve"> </w:t>
      </w:r>
      <w:r>
        <w:rPr>
          <w:rFonts w:hint="eastAsia" w:ascii="黑体" w:hAnsi="黑体" w:eastAsia="黑体" w:cs="黑体"/>
          <w:lang w:eastAsia="zh-CN"/>
        </w:rPr>
        <w:t>文</w:t>
      </w:r>
      <w:r>
        <w:rPr>
          <w:rFonts w:hint="eastAsia" w:ascii="黑体" w:hAnsi="黑体" w:eastAsia="黑体" w:cs="黑体"/>
          <w:lang w:val="en-US" w:eastAsia="zh-CN"/>
        </w:rPr>
        <w:t xml:space="preserve"> </w:t>
      </w:r>
      <w:r>
        <w:rPr>
          <w:rFonts w:hint="eastAsia" w:ascii="黑体" w:hAnsi="黑体" w:eastAsia="黑体" w:cs="黑体"/>
          <w:lang w:eastAsia="zh-CN"/>
        </w:rPr>
        <w:t>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lang w:val="en-US" w:eastAsia="zh-CN"/>
        </w:rPr>
        <w:t>[l] GB/T 18336.1—2015 信息技术 安全技术 信息技术安全评估准则 第1 部分：简介和 一般模型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eastAsia="zh-CN"/>
        </w:rPr>
      </w:pPr>
      <w:r>
        <w:rPr>
          <w:rFonts w:hint="eastAsia" w:ascii="宋体" w:hAnsi="宋体" w:eastAsia="宋体" w:cs="宋体"/>
          <w:lang w:val="en-US" w:eastAsia="zh-CN"/>
        </w:rPr>
        <w:t>[2] GB/T 27203-2016 合格评定 用于人员认证的人员能力词汇</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eastAsia="宋体" w:cs="宋体"/>
          <w:lang w:val="en-US" w:eastAsia="zh-CN"/>
        </w:rPr>
        <w:t>[3] GB/T 27024-2014 合格评定 人员认证机构通用要求</w:t>
      </w:r>
    </w:p>
    <w:sectPr>
      <w:footerReference r:id="rId12" w:type="default"/>
      <w:footerReference r:id="rId13" w:type="even"/>
      <w:pgSz w:w="11900" w:h="16838"/>
      <w:pgMar w:top="1417" w:right="1134" w:bottom="1440" w:left="1417" w:header="454" w:footer="794" w:gutter="0"/>
      <w:pgNumType w:fmt="decimal"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Songti SC Light">
    <w:altName w:val="宋体"/>
    <w:panose1 w:val="02010600040101010101"/>
    <w:charset w:val="86"/>
    <w:family w:val="auto"/>
    <w:pitch w:val="default"/>
    <w:sig w:usb0="00000000" w:usb1="00000000"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lang w:eastAsia="zh-CN"/>
      </w:rPr>
      <w: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4624"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4624"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75648" behindDoc="0" locked="0" layoutInCell="1" allowOverlap="1">
              <wp:simplePos x="0" y="0"/>
              <wp:positionH relativeFrom="margin">
                <wp:align>inside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keepNext w:val="0"/>
      <w:keepLines w:val="0"/>
      <w:pageBreakBefore w:val="0"/>
      <w:widowControl w:val="0"/>
      <w:pBdr>
        <w:bottom w:val="none" w:color="auto" w:sz="0" w:space="0"/>
      </w:pBdr>
      <w:kinsoku w:val="0"/>
      <w:wordWrap/>
      <w:overflowPunct w:val="0"/>
      <w:topLinePunct w:val="0"/>
      <w:autoSpaceDE w:val="0"/>
      <w:autoSpaceDN w:val="0"/>
      <w:bidi w:val="0"/>
      <w:adjustRightInd/>
      <w:snapToGrid/>
      <w:spacing w:before="850"/>
      <w:textAlignment w:val="center"/>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p>
    <w:pPr>
      <w:pStyle w:val="1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before="0"/>
      <w:rPr>
        <w:rFonts w:ascii="黑体" w:eastAsia="黑体"/>
        <w:color w:val="000000"/>
        <w:sz w:val="21"/>
        <w:szCs w:val="21"/>
      </w:rPr>
    </w:pPr>
    <w:r>
      <w:rPr>
        <w:rFonts w:hint="eastAsia" w:eastAsia="黑体"/>
        <w:b/>
        <w:color w:val="000000"/>
        <w:sz w:val="21"/>
        <w:szCs w:val="21"/>
      </w:rPr>
      <w:t>T</w:t>
    </w:r>
    <w:r>
      <w:rPr>
        <w:rFonts w:hint="eastAsia" w:ascii="黑体" w:eastAsia="黑体"/>
        <w:color w:val="000000"/>
        <w:sz w:val="21"/>
        <w:szCs w:val="21"/>
      </w:rPr>
      <w:t>/</w:t>
    </w:r>
    <w:r>
      <w:rPr>
        <w:rFonts w:hint="eastAsia" w:eastAsia="黑体"/>
        <w:b/>
        <w:color w:val="000000"/>
        <w:sz w:val="21"/>
        <w:szCs w:val="21"/>
      </w:rPr>
      <w:t>BJCSA</w:t>
    </w:r>
    <w:r>
      <w:rPr>
        <w:rFonts w:hint="eastAsia" w:ascii="黑体" w:eastAsia="黑体"/>
        <w:color w:val="000000"/>
        <w:sz w:val="21"/>
        <w:szCs w:val="21"/>
      </w:rPr>
      <w:t xml:space="preserve"> 1—2019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keepNext w:val="0"/>
      <w:keepLines w:val="0"/>
      <w:pageBreakBefore w:val="0"/>
      <w:widowControl w:val="0"/>
      <w:pBdr>
        <w:bottom w:val="none" w:color="auto" w:sz="0" w:space="0"/>
      </w:pBdr>
      <w:kinsoku w:val="0"/>
      <w:wordWrap/>
      <w:overflowPunct w:val="0"/>
      <w:topLinePunct w:val="0"/>
      <w:autoSpaceDE w:val="0"/>
      <w:autoSpaceDN w:val="0"/>
      <w:bidi w:val="0"/>
      <w:adjustRightInd/>
      <w:snapToGrid/>
      <w:spacing w:before="850"/>
      <w:textAlignment w:val="center"/>
      <w:rPr>
        <w:rFonts w:ascii="黑体" w:eastAsia="黑体"/>
        <w:sz w:val="21"/>
        <w:szCs w:val="21"/>
      </w:rPr>
    </w:pPr>
    <w:r>
      <w:rPr>
        <w:rFonts w:hint="eastAsia" w:eastAsia="黑体"/>
        <w:b/>
        <w:sz w:val="21"/>
        <w:szCs w:val="21"/>
      </w:rPr>
      <w:t xml:space="preserve"> T</w:t>
    </w:r>
    <w:r>
      <w:rPr>
        <w:rFonts w:hint="eastAsia" w:ascii="黑体" w:eastAsia="黑体"/>
        <w:sz w:val="21"/>
        <w:szCs w:val="21"/>
      </w:rPr>
      <w:t>/</w:t>
    </w:r>
    <w:r>
      <w:rPr>
        <w:rFonts w:hint="eastAsia" w:eastAsia="黑体"/>
        <w:b/>
        <w:sz w:val="21"/>
        <w:szCs w:val="21"/>
      </w:rPr>
      <w:t>BJCSA</w:t>
    </w:r>
    <w:r>
      <w:rPr>
        <w:rFonts w:hint="eastAsia" w:ascii="黑体" w:eastAsia="黑体"/>
        <w:sz w:val="21"/>
        <w:szCs w:val="21"/>
      </w:rPr>
      <w:t xml:space="preserve"> 1—2019</w:t>
    </w:r>
  </w:p>
  <w:p>
    <w:pPr>
      <w:pStyle w:val="14"/>
      <w:pBdr>
        <w:bottom w:val="none" w:color="auto" w:sz="0" w:space="1"/>
      </w:pBdr>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B5613"/>
    <w:multiLevelType w:val="singleLevel"/>
    <w:tmpl w:val="131B5613"/>
    <w:lvl w:ilvl="0" w:tentative="0">
      <w:start w:val="1"/>
      <w:numFmt w:val="lowerLetter"/>
      <w:suff w:val="space"/>
      <w:lvlText w:val="%1)"/>
      <w:lvlJc w:val="left"/>
    </w:lvl>
  </w:abstractNum>
  <w:abstractNum w:abstractNumId="1">
    <w:nsid w:val="3D3AD1D1"/>
    <w:multiLevelType w:val="multilevel"/>
    <w:tmpl w:val="3D3AD1D1"/>
    <w:lvl w:ilvl="0" w:tentative="0">
      <w:start w:val="1"/>
      <w:numFmt w:val="decimal"/>
      <w:pStyle w:val="2"/>
      <w:lvlText w:val="%1."/>
      <w:lvlJc w:val="left"/>
      <w:pPr>
        <w:ind w:left="432" w:hanging="432"/>
      </w:pPr>
      <w:rPr>
        <w:rFonts w:hint="default" w:ascii="黑体" w:hAnsi="黑体" w:eastAsia="宋体" w:cs="宋体"/>
        <w:sz w:val="21"/>
      </w:rPr>
    </w:lvl>
    <w:lvl w:ilvl="1" w:tentative="0">
      <w:start w:val="1"/>
      <w:numFmt w:val="decimal"/>
      <w:pStyle w:val="3"/>
      <w:suff w:val="space"/>
      <w:lvlText w:val="%1.%2"/>
      <w:lvlJc w:val="left"/>
      <w:pPr>
        <w:tabs>
          <w:tab w:val="left" w:pos="420"/>
        </w:tabs>
        <w:ind w:left="575" w:hanging="575"/>
      </w:pPr>
      <w:rPr>
        <w:rFonts w:hint="default" w:ascii="黑体" w:hAnsi="黑体" w:eastAsia="宋体" w:cs="宋体"/>
        <w:sz w:val="21"/>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6CEA2025"/>
    <w:multiLevelType w:val="multilevel"/>
    <w:tmpl w:val="6CEA2025"/>
    <w:lvl w:ilvl="0" w:tentative="0">
      <w:start w:val="1"/>
      <w:numFmt w:val="none"/>
      <w:pStyle w:val="3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05"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6"/>
      <w:suff w:val="nothing"/>
      <w:lvlText w:val="%1%2.%3.%4.%5　"/>
      <w:lvlJc w:val="left"/>
      <w:pPr>
        <w:ind w:left="0" w:firstLine="0"/>
      </w:pPr>
      <w:rPr>
        <w:rFonts w:hint="eastAsia" w:ascii="黑体" w:hAnsi="Times New Roman" w:eastAsia="黑体"/>
        <w:b w:val="0"/>
        <w:i w:val="0"/>
        <w:sz w:val="21"/>
      </w:rPr>
    </w:lvl>
    <w:lvl w:ilvl="5" w:tentative="0">
      <w:start w:val="1"/>
      <w:numFmt w:val="decimal"/>
      <w:pStyle w:val="4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5355"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21"/>
    <w:rsid w:val="00022807"/>
    <w:rsid w:val="000250DD"/>
    <w:rsid w:val="00032976"/>
    <w:rsid w:val="00046771"/>
    <w:rsid w:val="00060CE9"/>
    <w:rsid w:val="00080FD8"/>
    <w:rsid w:val="00096B88"/>
    <w:rsid w:val="000C0008"/>
    <w:rsid w:val="000E4D05"/>
    <w:rsid w:val="00117B74"/>
    <w:rsid w:val="001355B6"/>
    <w:rsid w:val="00151ED6"/>
    <w:rsid w:val="00156DF2"/>
    <w:rsid w:val="00172BBD"/>
    <w:rsid w:val="00191CD1"/>
    <w:rsid w:val="00192DDA"/>
    <w:rsid w:val="001A2021"/>
    <w:rsid w:val="001C12AD"/>
    <w:rsid w:val="001C1CC4"/>
    <w:rsid w:val="001D7A2B"/>
    <w:rsid w:val="001F18AA"/>
    <w:rsid w:val="00201986"/>
    <w:rsid w:val="00242E01"/>
    <w:rsid w:val="00243E31"/>
    <w:rsid w:val="0027362A"/>
    <w:rsid w:val="002B16A7"/>
    <w:rsid w:val="002D0D30"/>
    <w:rsid w:val="002D5CB2"/>
    <w:rsid w:val="002E610A"/>
    <w:rsid w:val="002E7F8D"/>
    <w:rsid w:val="00301053"/>
    <w:rsid w:val="0030193F"/>
    <w:rsid w:val="00321345"/>
    <w:rsid w:val="003445D6"/>
    <w:rsid w:val="0037417B"/>
    <w:rsid w:val="00385295"/>
    <w:rsid w:val="00390C7A"/>
    <w:rsid w:val="003A64B3"/>
    <w:rsid w:val="003D1254"/>
    <w:rsid w:val="003E0BD9"/>
    <w:rsid w:val="003E3783"/>
    <w:rsid w:val="00425B6C"/>
    <w:rsid w:val="00444EBF"/>
    <w:rsid w:val="004B2203"/>
    <w:rsid w:val="004C52F7"/>
    <w:rsid w:val="004F3AC9"/>
    <w:rsid w:val="005276AE"/>
    <w:rsid w:val="005303FB"/>
    <w:rsid w:val="005A5FCC"/>
    <w:rsid w:val="005F1146"/>
    <w:rsid w:val="00633258"/>
    <w:rsid w:val="00687717"/>
    <w:rsid w:val="00687E0E"/>
    <w:rsid w:val="006B2942"/>
    <w:rsid w:val="006C225D"/>
    <w:rsid w:val="00711D76"/>
    <w:rsid w:val="00714EEB"/>
    <w:rsid w:val="00716244"/>
    <w:rsid w:val="007227C7"/>
    <w:rsid w:val="00765C78"/>
    <w:rsid w:val="00802149"/>
    <w:rsid w:val="00842B94"/>
    <w:rsid w:val="00854906"/>
    <w:rsid w:val="00855592"/>
    <w:rsid w:val="00873E80"/>
    <w:rsid w:val="00875A3A"/>
    <w:rsid w:val="008774DD"/>
    <w:rsid w:val="00881B84"/>
    <w:rsid w:val="00885C3A"/>
    <w:rsid w:val="008869CA"/>
    <w:rsid w:val="00887A3E"/>
    <w:rsid w:val="008A5BF9"/>
    <w:rsid w:val="008C37E0"/>
    <w:rsid w:val="008E0AB1"/>
    <w:rsid w:val="00904018"/>
    <w:rsid w:val="0095187F"/>
    <w:rsid w:val="00955F34"/>
    <w:rsid w:val="00975B0A"/>
    <w:rsid w:val="009C1356"/>
    <w:rsid w:val="009C1CE5"/>
    <w:rsid w:val="009C6EC3"/>
    <w:rsid w:val="009C7090"/>
    <w:rsid w:val="009E0CFC"/>
    <w:rsid w:val="009E1C06"/>
    <w:rsid w:val="00A176DE"/>
    <w:rsid w:val="00A32E12"/>
    <w:rsid w:val="00A43885"/>
    <w:rsid w:val="00A47B5E"/>
    <w:rsid w:val="00A54BA0"/>
    <w:rsid w:val="00A57C3A"/>
    <w:rsid w:val="00A61CF6"/>
    <w:rsid w:val="00A76B78"/>
    <w:rsid w:val="00A85767"/>
    <w:rsid w:val="00AA2E30"/>
    <w:rsid w:val="00AC2246"/>
    <w:rsid w:val="00AD1389"/>
    <w:rsid w:val="00AE58F3"/>
    <w:rsid w:val="00AF267E"/>
    <w:rsid w:val="00AF4CC5"/>
    <w:rsid w:val="00B07AC5"/>
    <w:rsid w:val="00B31CAB"/>
    <w:rsid w:val="00B34E87"/>
    <w:rsid w:val="00B53B20"/>
    <w:rsid w:val="00B640B5"/>
    <w:rsid w:val="00B7558C"/>
    <w:rsid w:val="00B75C45"/>
    <w:rsid w:val="00B854B0"/>
    <w:rsid w:val="00BA577F"/>
    <w:rsid w:val="00BA5B21"/>
    <w:rsid w:val="00BB03C5"/>
    <w:rsid w:val="00BC29FD"/>
    <w:rsid w:val="00C228B1"/>
    <w:rsid w:val="00C2518E"/>
    <w:rsid w:val="00C75ABD"/>
    <w:rsid w:val="00C86DB8"/>
    <w:rsid w:val="00C92166"/>
    <w:rsid w:val="00CB162C"/>
    <w:rsid w:val="00CB39BA"/>
    <w:rsid w:val="00CF2DF6"/>
    <w:rsid w:val="00D075F6"/>
    <w:rsid w:val="00D20474"/>
    <w:rsid w:val="00D26724"/>
    <w:rsid w:val="00D349EA"/>
    <w:rsid w:val="00DA58D2"/>
    <w:rsid w:val="00DC5210"/>
    <w:rsid w:val="00DD3841"/>
    <w:rsid w:val="00DD5B40"/>
    <w:rsid w:val="00DE0616"/>
    <w:rsid w:val="00DF267B"/>
    <w:rsid w:val="00DF335A"/>
    <w:rsid w:val="00DF41BE"/>
    <w:rsid w:val="00E104D1"/>
    <w:rsid w:val="00E53DF9"/>
    <w:rsid w:val="00E7520B"/>
    <w:rsid w:val="00E93F49"/>
    <w:rsid w:val="00E967A4"/>
    <w:rsid w:val="00ED257A"/>
    <w:rsid w:val="00F418E0"/>
    <w:rsid w:val="00F573A3"/>
    <w:rsid w:val="00FA774A"/>
    <w:rsid w:val="00FD1330"/>
    <w:rsid w:val="00FF7DB3"/>
    <w:rsid w:val="01582982"/>
    <w:rsid w:val="017B25AD"/>
    <w:rsid w:val="018335F9"/>
    <w:rsid w:val="0189762D"/>
    <w:rsid w:val="01C37C79"/>
    <w:rsid w:val="01D041AC"/>
    <w:rsid w:val="01D84F14"/>
    <w:rsid w:val="021B3667"/>
    <w:rsid w:val="02535296"/>
    <w:rsid w:val="031A1BDA"/>
    <w:rsid w:val="032E3881"/>
    <w:rsid w:val="03401897"/>
    <w:rsid w:val="040713F4"/>
    <w:rsid w:val="040918ED"/>
    <w:rsid w:val="041037BB"/>
    <w:rsid w:val="042F268D"/>
    <w:rsid w:val="04601AAD"/>
    <w:rsid w:val="048C342D"/>
    <w:rsid w:val="04D61A25"/>
    <w:rsid w:val="050054D7"/>
    <w:rsid w:val="0528300F"/>
    <w:rsid w:val="055B028B"/>
    <w:rsid w:val="05646425"/>
    <w:rsid w:val="056F349A"/>
    <w:rsid w:val="05A200E6"/>
    <w:rsid w:val="05C5535F"/>
    <w:rsid w:val="05D4380B"/>
    <w:rsid w:val="05D901B8"/>
    <w:rsid w:val="061B5205"/>
    <w:rsid w:val="061E6545"/>
    <w:rsid w:val="06266AEA"/>
    <w:rsid w:val="063A378B"/>
    <w:rsid w:val="069F0B85"/>
    <w:rsid w:val="06E3321C"/>
    <w:rsid w:val="06EC4FDC"/>
    <w:rsid w:val="06F6034C"/>
    <w:rsid w:val="06F82013"/>
    <w:rsid w:val="07015357"/>
    <w:rsid w:val="0732598B"/>
    <w:rsid w:val="07460CC0"/>
    <w:rsid w:val="074E109E"/>
    <w:rsid w:val="07970216"/>
    <w:rsid w:val="080034E5"/>
    <w:rsid w:val="08180BAE"/>
    <w:rsid w:val="087E3A7F"/>
    <w:rsid w:val="089418FB"/>
    <w:rsid w:val="08A31519"/>
    <w:rsid w:val="08E970D3"/>
    <w:rsid w:val="09294C2B"/>
    <w:rsid w:val="092B7394"/>
    <w:rsid w:val="09361E68"/>
    <w:rsid w:val="095453CD"/>
    <w:rsid w:val="09550E40"/>
    <w:rsid w:val="09571FF9"/>
    <w:rsid w:val="09731575"/>
    <w:rsid w:val="09840B7B"/>
    <w:rsid w:val="09983753"/>
    <w:rsid w:val="09B0232B"/>
    <w:rsid w:val="09DA5410"/>
    <w:rsid w:val="09DE4F61"/>
    <w:rsid w:val="09FF7B71"/>
    <w:rsid w:val="0A0C0B19"/>
    <w:rsid w:val="0A1C20B5"/>
    <w:rsid w:val="0A4B1887"/>
    <w:rsid w:val="0A630586"/>
    <w:rsid w:val="0AA96A32"/>
    <w:rsid w:val="0AB8123A"/>
    <w:rsid w:val="0AC75E3A"/>
    <w:rsid w:val="0AEA4896"/>
    <w:rsid w:val="0B180C7A"/>
    <w:rsid w:val="0B1E3A5F"/>
    <w:rsid w:val="0B330156"/>
    <w:rsid w:val="0B3827FE"/>
    <w:rsid w:val="0B920C90"/>
    <w:rsid w:val="0C240003"/>
    <w:rsid w:val="0C901F11"/>
    <w:rsid w:val="0C915A84"/>
    <w:rsid w:val="0D382FED"/>
    <w:rsid w:val="0D4F4874"/>
    <w:rsid w:val="0D603096"/>
    <w:rsid w:val="0D756245"/>
    <w:rsid w:val="0DBF1A0F"/>
    <w:rsid w:val="0E416504"/>
    <w:rsid w:val="0E806515"/>
    <w:rsid w:val="0E830913"/>
    <w:rsid w:val="0E885F31"/>
    <w:rsid w:val="0E9405BD"/>
    <w:rsid w:val="0EB632A3"/>
    <w:rsid w:val="0ED6636C"/>
    <w:rsid w:val="0EE41333"/>
    <w:rsid w:val="0EF45BBA"/>
    <w:rsid w:val="0EFB4EFF"/>
    <w:rsid w:val="0EFF7B75"/>
    <w:rsid w:val="0F48662B"/>
    <w:rsid w:val="0F5E7566"/>
    <w:rsid w:val="0FD430A9"/>
    <w:rsid w:val="10281BEF"/>
    <w:rsid w:val="102C0D9B"/>
    <w:rsid w:val="10946632"/>
    <w:rsid w:val="10AC1914"/>
    <w:rsid w:val="10BD3078"/>
    <w:rsid w:val="10C24D66"/>
    <w:rsid w:val="10C34CA8"/>
    <w:rsid w:val="10CE5D41"/>
    <w:rsid w:val="10D035C1"/>
    <w:rsid w:val="1131073F"/>
    <w:rsid w:val="114A7B27"/>
    <w:rsid w:val="115D0BD1"/>
    <w:rsid w:val="11852FC8"/>
    <w:rsid w:val="126F05AC"/>
    <w:rsid w:val="127769C7"/>
    <w:rsid w:val="129312AA"/>
    <w:rsid w:val="1298325D"/>
    <w:rsid w:val="13006955"/>
    <w:rsid w:val="13133E84"/>
    <w:rsid w:val="13536B13"/>
    <w:rsid w:val="137210E7"/>
    <w:rsid w:val="138D06C1"/>
    <w:rsid w:val="14322CA6"/>
    <w:rsid w:val="14465986"/>
    <w:rsid w:val="147957C1"/>
    <w:rsid w:val="149E5706"/>
    <w:rsid w:val="14A2711D"/>
    <w:rsid w:val="14B87A76"/>
    <w:rsid w:val="14BC001C"/>
    <w:rsid w:val="14D33836"/>
    <w:rsid w:val="15055AFE"/>
    <w:rsid w:val="15442DD3"/>
    <w:rsid w:val="154D0AD4"/>
    <w:rsid w:val="15832794"/>
    <w:rsid w:val="15937A3B"/>
    <w:rsid w:val="15B75392"/>
    <w:rsid w:val="15C104DA"/>
    <w:rsid w:val="15E53514"/>
    <w:rsid w:val="16005BF2"/>
    <w:rsid w:val="161640E5"/>
    <w:rsid w:val="16386774"/>
    <w:rsid w:val="16A728FC"/>
    <w:rsid w:val="170873BF"/>
    <w:rsid w:val="17204DCC"/>
    <w:rsid w:val="173742CB"/>
    <w:rsid w:val="181B6BB4"/>
    <w:rsid w:val="18653D24"/>
    <w:rsid w:val="1885062E"/>
    <w:rsid w:val="188D5E57"/>
    <w:rsid w:val="189805C4"/>
    <w:rsid w:val="19752C46"/>
    <w:rsid w:val="197F0233"/>
    <w:rsid w:val="19811ADA"/>
    <w:rsid w:val="19B1362A"/>
    <w:rsid w:val="19CF7D97"/>
    <w:rsid w:val="19F075BE"/>
    <w:rsid w:val="1A093C78"/>
    <w:rsid w:val="1AA02DFF"/>
    <w:rsid w:val="1AB94BD0"/>
    <w:rsid w:val="1AD3552F"/>
    <w:rsid w:val="1AD35FD9"/>
    <w:rsid w:val="1ADC56EB"/>
    <w:rsid w:val="1B1A257C"/>
    <w:rsid w:val="1B2534B9"/>
    <w:rsid w:val="1B4D2172"/>
    <w:rsid w:val="1B503F98"/>
    <w:rsid w:val="1B8B4A78"/>
    <w:rsid w:val="1BE016BB"/>
    <w:rsid w:val="1BE70618"/>
    <w:rsid w:val="1C0D7E65"/>
    <w:rsid w:val="1C2F34CF"/>
    <w:rsid w:val="1C3F4239"/>
    <w:rsid w:val="1C6E6C49"/>
    <w:rsid w:val="1C715222"/>
    <w:rsid w:val="1CEC153B"/>
    <w:rsid w:val="1CF81C0A"/>
    <w:rsid w:val="1CFC5D86"/>
    <w:rsid w:val="1D20197D"/>
    <w:rsid w:val="1D9A742C"/>
    <w:rsid w:val="1DAB2401"/>
    <w:rsid w:val="1DBE179F"/>
    <w:rsid w:val="1E2D0286"/>
    <w:rsid w:val="1E3259D6"/>
    <w:rsid w:val="1E6C5713"/>
    <w:rsid w:val="1E79477C"/>
    <w:rsid w:val="1EC70685"/>
    <w:rsid w:val="1EC8688D"/>
    <w:rsid w:val="1EC95EC4"/>
    <w:rsid w:val="1ED06997"/>
    <w:rsid w:val="1EE10062"/>
    <w:rsid w:val="1EEC7E64"/>
    <w:rsid w:val="1F084D3F"/>
    <w:rsid w:val="1F0B59C8"/>
    <w:rsid w:val="1F4A66B9"/>
    <w:rsid w:val="1F4E73E5"/>
    <w:rsid w:val="1F537E42"/>
    <w:rsid w:val="1F5E002B"/>
    <w:rsid w:val="1F607869"/>
    <w:rsid w:val="1F6F620D"/>
    <w:rsid w:val="1F916DA4"/>
    <w:rsid w:val="200355B9"/>
    <w:rsid w:val="201B4323"/>
    <w:rsid w:val="20262F1B"/>
    <w:rsid w:val="202D75A9"/>
    <w:rsid w:val="203C439A"/>
    <w:rsid w:val="205254DF"/>
    <w:rsid w:val="20C95244"/>
    <w:rsid w:val="211F7041"/>
    <w:rsid w:val="212155F7"/>
    <w:rsid w:val="213248B9"/>
    <w:rsid w:val="21483461"/>
    <w:rsid w:val="21A91B0F"/>
    <w:rsid w:val="21D5093A"/>
    <w:rsid w:val="21F11C45"/>
    <w:rsid w:val="21F41855"/>
    <w:rsid w:val="21F73D48"/>
    <w:rsid w:val="222040A9"/>
    <w:rsid w:val="2243442F"/>
    <w:rsid w:val="22522A2E"/>
    <w:rsid w:val="228A5501"/>
    <w:rsid w:val="22A916B0"/>
    <w:rsid w:val="22AB1D51"/>
    <w:rsid w:val="22B81D72"/>
    <w:rsid w:val="22E03CAA"/>
    <w:rsid w:val="22FB4283"/>
    <w:rsid w:val="233B11A7"/>
    <w:rsid w:val="23550377"/>
    <w:rsid w:val="236A3007"/>
    <w:rsid w:val="239813E9"/>
    <w:rsid w:val="23B65610"/>
    <w:rsid w:val="23C571DE"/>
    <w:rsid w:val="23D11095"/>
    <w:rsid w:val="23F55100"/>
    <w:rsid w:val="241C71A0"/>
    <w:rsid w:val="24275020"/>
    <w:rsid w:val="24277EB1"/>
    <w:rsid w:val="24330704"/>
    <w:rsid w:val="24B21DDC"/>
    <w:rsid w:val="24CC4370"/>
    <w:rsid w:val="24E71F07"/>
    <w:rsid w:val="250F2EFF"/>
    <w:rsid w:val="2521056A"/>
    <w:rsid w:val="254C207C"/>
    <w:rsid w:val="25864C85"/>
    <w:rsid w:val="25D617C0"/>
    <w:rsid w:val="25F337D6"/>
    <w:rsid w:val="25F95DDF"/>
    <w:rsid w:val="263C4344"/>
    <w:rsid w:val="26534204"/>
    <w:rsid w:val="26707FE6"/>
    <w:rsid w:val="268E557D"/>
    <w:rsid w:val="268E7372"/>
    <w:rsid w:val="26A06A71"/>
    <w:rsid w:val="26E86469"/>
    <w:rsid w:val="26FD5DEE"/>
    <w:rsid w:val="27165B5D"/>
    <w:rsid w:val="273505A7"/>
    <w:rsid w:val="2756682E"/>
    <w:rsid w:val="277778CF"/>
    <w:rsid w:val="278A238B"/>
    <w:rsid w:val="27B43406"/>
    <w:rsid w:val="280333C4"/>
    <w:rsid w:val="284B481F"/>
    <w:rsid w:val="2874390B"/>
    <w:rsid w:val="28794D0C"/>
    <w:rsid w:val="28AE1E2A"/>
    <w:rsid w:val="28BD6808"/>
    <w:rsid w:val="28D4380D"/>
    <w:rsid w:val="28F65ED3"/>
    <w:rsid w:val="28F84549"/>
    <w:rsid w:val="290C23DF"/>
    <w:rsid w:val="290F4E34"/>
    <w:rsid w:val="2913137C"/>
    <w:rsid w:val="292F4878"/>
    <w:rsid w:val="29515627"/>
    <w:rsid w:val="296942BD"/>
    <w:rsid w:val="298F2204"/>
    <w:rsid w:val="29AD27EF"/>
    <w:rsid w:val="29BB3EB6"/>
    <w:rsid w:val="29F42BDE"/>
    <w:rsid w:val="2A04441B"/>
    <w:rsid w:val="2A5925D5"/>
    <w:rsid w:val="2A916CEB"/>
    <w:rsid w:val="2AD3559C"/>
    <w:rsid w:val="2B143A46"/>
    <w:rsid w:val="2B222C51"/>
    <w:rsid w:val="2B32775A"/>
    <w:rsid w:val="2B62442C"/>
    <w:rsid w:val="2B824E47"/>
    <w:rsid w:val="2B9476F7"/>
    <w:rsid w:val="2C2E23CE"/>
    <w:rsid w:val="2C84459A"/>
    <w:rsid w:val="2CD46538"/>
    <w:rsid w:val="2CE162DB"/>
    <w:rsid w:val="2D274B27"/>
    <w:rsid w:val="2D7518EC"/>
    <w:rsid w:val="2DA30A50"/>
    <w:rsid w:val="2DAF4F6A"/>
    <w:rsid w:val="2DD669E8"/>
    <w:rsid w:val="2E0D584F"/>
    <w:rsid w:val="2E141109"/>
    <w:rsid w:val="2E15471E"/>
    <w:rsid w:val="2E226CB8"/>
    <w:rsid w:val="2E566B49"/>
    <w:rsid w:val="2E992C99"/>
    <w:rsid w:val="2E9A6DAC"/>
    <w:rsid w:val="2ED33F71"/>
    <w:rsid w:val="2F183E60"/>
    <w:rsid w:val="2F1C7222"/>
    <w:rsid w:val="2F3362D8"/>
    <w:rsid w:val="2F757C08"/>
    <w:rsid w:val="2FB57551"/>
    <w:rsid w:val="2FBF6222"/>
    <w:rsid w:val="3034023F"/>
    <w:rsid w:val="30353558"/>
    <w:rsid w:val="3061131E"/>
    <w:rsid w:val="306E49CB"/>
    <w:rsid w:val="30904E49"/>
    <w:rsid w:val="30994A89"/>
    <w:rsid w:val="310E5679"/>
    <w:rsid w:val="31364329"/>
    <w:rsid w:val="317955BE"/>
    <w:rsid w:val="31981CFB"/>
    <w:rsid w:val="31A572CB"/>
    <w:rsid w:val="31C9207A"/>
    <w:rsid w:val="31D2410B"/>
    <w:rsid w:val="31D330C8"/>
    <w:rsid w:val="31DA4F72"/>
    <w:rsid w:val="32190D6B"/>
    <w:rsid w:val="32326346"/>
    <w:rsid w:val="32915F0A"/>
    <w:rsid w:val="32AE2C7B"/>
    <w:rsid w:val="32F116B0"/>
    <w:rsid w:val="33764448"/>
    <w:rsid w:val="33A44BBE"/>
    <w:rsid w:val="33AD2741"/>
    <w:rsid w:val="33CE1F92"/>
    <w:rsid w:val="33DE010B"/>
    <w:rsid w:val="340106F2"/>
    <w:rsid w:val="3405501C"/>
    <w:rsid w:val="34101D9A"/>
    <w:rsid w:val="34446614"/>
    <w:rsid w:val="34980186"/>
    <w:rsid w:val="34A95230"/>
    <w:rsid w:val="34B568C7"/>
    <w:rsid w:val="355B5620"/>
    <w:rsid w:val="357C1EAD"/>
    <w:rsid w:val="35BB122A"/>
    <w:rsid w:val="35C47AC9"/>
    <w:rsid w:val="35E834DF"/>
    <w:rsid w:val="36094388"/>
    <w:rsid w:val="368D4277"/>
    <w:rsid w:val="36F41243"/>
    <w:rsid w:val="36F80324"/>
    <w:rsid w:val="372F630E"/>
    <w:rsid w:val="3748081E"/>
    <w:rsid w:val="37AF0259"/>
    <w:rsid w:val="37E476E5"/>
    <w:rsid w:val="37F21B08"/>
    <w:rsid w:val="38083434"/>
    <w:rsid w:val="38094965"/>
    <w:rsid w:val="382B44FC"/>
    <w:rsid w:val="3836449E"/>
    <w:rsid w:val="385901CB"/>
    <w:rsid w:val="388F58D7"/>
    <w:rsid w:val="38B31E74"/>
    <w:rsid w:val="38B6118D"/>
    <w:rsid w:val="39061763"/>
    <w:rsid w:val="395C55B9"/>
    <w:rsid w:val="396C0A1D"/>
    <w:rsid w:val="39DD5382"/>
    <w:rsid w:val="39DF7363"/>
    <w:rsid w:val="39FF375F"/>
    <w:rsid w:val="3A0A20F2"/>
    <w:rsid w:val="3A13762D"/>
    <w:rsid w:val="3A144088"/>
    <w:rsid w:val="3A7039DB"/>
    <w:rsid w:val="3AAF7509"/>
    <w:rsid w:val="3AB9278E"/>
    <w:rsid w:val="3AF3116F"/>
    <w:rsid w:val="3B361BD0"/>
    <w:rsid w:val="3B3B3A87"/>
    <w:rsid w:val="3B4301E2"/>
    <w:rsid w:val="3B7254B3"/>
    <w:rsid w:val="3B760FC6"/>
    <w:rsid w:val="3B935A69"/>
    <w:rsid w:val="3BC865B9"/>
    <w:rsid w:val="3BE81839"/>
    <w:rsid w:val="3C535ADF"/>
    <w:rsid w:val="3C977511"/>
    <w:rsid w:val="3C980E49"/>
    <w:rsid w:val="3CEF1A52"/>
    <w:rsid w:val="3D2435A4"/>
    <w:rsid w:val="3D3F41B7"/>
    <w:rsid w:val="3DAD7AEB"/>
    <w:rsid w:val="3DB14BF0"/>
    <w:rsid w:val="3DBE277A"/>
    <w:rsid w:val="3DD006DC"/>
    <w:rsid w:val="3E376652"/>
    <w:rsid w:val="3E5139B0"/>
    <w:rsid w:val="3E62086A"/>
    <w:rsid w:val="3EF0751B"/>
    <w:rsid w:val="3F336C31"/>
    <w:rsid w:val="3F497606"/>
    <w:rsid w:val="3F4C3439"/>
    <w:rsid w:val="3F7E4099"/>
    <w:rsid w:val="3FC97513"/>
    <w:rsid w:val="3FCE1CBC"/>
    <w:rsid w:val="3FDB6ED3"/>
    <w:rsid w:val="40036458"/>
    <w:rsid w:val="400B7CB6"/>
    <w:rsid w:val="403E3F9B"/>
    <w:rsid w:val="4042633A"/>
    <w:rsid w:val="406B604B"/>
    <w:rsid w:val="40715346"/>
    <w:rsid w:val="40A26CAE"/>
    <w:rsid w:val="40A358E5"/>
    <w:rsid w:val="40AB744F"/>
    <w:rsid w:val="40B7708E"/>
    <w:rsid w:val="40CC0606"/>
    <w:rsid w:val="40DE7AED"/>
    <w:rsid w:val="40EC1247"/>
    <w:rsid w:val="4104351E"/>
    <w:rsid w:val="411E3EBD"/>
    <w:rsid w:val="412C0AC9"/>
    <w:rsid w:val="4159636A"/>
    <w:rsid w:val="4188168E"/>
    <w:rsid w:val="4192226E"/>
    <w:rsid w:val="41E302CB"/>
    <w:rsid w:val="42106082"/>
    <w:rsid w:val="42320E0A"/>
    <w:rsid w:val="42A80CAC"/>
    <w:rsid w:val="42AB5EC0"/>
    <w:rsid w:val="42E032B0"/>
    <w:rsid w:val="42E817AA"/>
    <w:rsid w:val="43487BB0"/>
    <w:rsid w:val="4371180D"/>
    <w:rsid w:val="43A459DA"/>
    <w:rsid w:val="43B532E7"/>
    <w:rsid w:val="43CD6581"/>
    <w:rsid w:val="43DD6BF6"/>
    <w:rsid w:val="43E00590"/>
    <w:rsid w:val="43F065B5"/>
    <w:rsid w:val="44150925"/>
    <w:rsid w:val="44701B00"/>
    <w:rsid w:val="447463CA"/>
    <w:rsid w:val="448A3328"/>
    <w:rsid w:val="44BA125B"/>
    <w:rsid w:val="450C4EC6"/>
    <w:rsid w:val="4550440E"/>
    <w:rsid w:val="45706E55"/>
    <w:rsid w:val="45775F35"/>
    <w:rsid w:val="45993D70"/>
    <w:rsid w:val="45F45F4D"/>
    <w:rsid w:val="46165561"/>
    <w:rsid w:val="462B260F"/>
    <w:rsid w:val="4667527A"/>
    <w:rsid w:val="466E7DEC"/>
    <w:rsid w:val="47643CB2"/>
    <w:rsid w:val="476E2CE3"/>
    <w:rsid w:val="47B1169A"/>
    <w:rsid w:val="47CB5181"/>
    <w:rsid w:val="47E72A75"/>
    <w:rsid w:val="47F725CA"/>
    <w:rsid w:val="48124E64"/>
    <w:rsid w:val="483F5D1E"/>
    <w:rsid w:val="484E4319"/>
    <w:rsid w:val="4887155E"/>
    <w:rsid w:val="48BA2C2C"/>
    <w:rsid w:val="490A4F21"/>
    <w:rsid w:val="49452061"/>
    <w:rsid w:val="495A4812"/>
    <w:rsid w:val="49F33A5A"/>
    <w:rsid w:val="4A2614C3"/>
    <w:rsid w:val="4A406728"/>
    <w:rsid w:val="4AB77461"/>
    <w:rsid w:val="4ACB3011"/>
    <w:rsid w:val="4AF97F26"/>
    <w:rsid w:val="4B164327"/>
    <w:rsid w:val="4B3D032A"/>
    <w:rsid w:val="4B9B323D"/>
    <w:rsid w:val="4BA3391F"/>
    <w:rsid w:val="4BD15220"/>
    <w:rsid w:val="4C0B21A7"/>
    <w:rsid w:val="4C1D40BF"/>
    <w:rsid w:val="4C2F297C"/>
    <w:rsid w:val="4C43338F"/>
    <w:rsid w:val="4C7741FB"/>
    <w:rsid w:val="4CA829A4"/>
    <w:rsid w:val="4D50078B"/>
    <w:rsid w:val="4D6A78C3"/>
    <w:rsid w:val="4D6F7AF2"/>
    <w:rsid w:val="4D764DDA"/>
    <w:rsid w:val="4DAE1AE7"/>
    <w:rsid w:val="4DC4029D"/>
    <w:rsid w:val="4E27576B"/>
    <w:rsid w:val="4E481C5A"/>
    <w:rsid w:val="4E4F32E3"/>
    <w:rsid w:val="4EA119F1"/>
    <w:rsid w:val="4EB11AF5"/>
    <w:rsid w:val="4EEB7471"/>
    <w:rsid w:val="4F0E5219"/>
    <w:rsid w:val="4F22339F"/>
    <w:rsid w:val="4F224B7A"/>
    <w:rsid w:val="4F2F56AF"/>
    <w:rsid w:val="4F4179B2"/>
    <w:rsid w:val="4F821468"/>
    <w:rsid w:val="4F8903C7"/>
    <w:rsid w:val="4F9445C6"/>
    <w:rsid w:val="4FDB492A"/>
    <w:rsid w:val="50556E5A"/>
    <w:rsid w:val="505C18DA"/>
    <w:rsid w:val="5093137F"/>
    <w:rsid w:val="50AA0A0D"/>
    <w:rsid w:val="50C25D01"/>
    <w:rsid w:val="50E76695"/>
    <w:rsid w:val="513033C5"/>
    <w:rsid w:val="517823D8"/>
    <w:rsid w:val="51C5706D"/>
    <w:rsid w:val="51D576F9"/>
    <w:rsid w:val="5234515F"/>
    <w:rsid w:val="527E3456"/>
    <w:rsid w:val="52CD2EAE"/>
    <w:rsid w:val="53244068"/>
    <w:rsid w:val="5335538B"/>
    <w:rsid w:val="534134D3"/>
    <w:rsid w:val="535C5234"/>
    <w:rsid w:val="53821098"/>
    <w:rsid w:val="53A83725"/>
    <w:rsid w:val="53C45EE2"/>
    <w:rsid w:val="5440484B"/>
    <w:rsid w:val="54710F2C"/>
    <w:rsid w:val="548670C6"/>
    <w:rsid w:val="54AA51E3"/>
    <w:rsid w:val="54AE5FAA"/>
    <w:rsid w:val="54ED3B9D"/>
    <w:rsid w:val="550813BE"/>
    <w:rsid w:val="55235618"/>
    <w:rsid w:val="55352D14"/>
    <w:rsid w:val="553A225D"/>
    <w:rsid w:val="55597879"/>
    <w:rsid w:val="55684BFB"/>
    <w:rsid w:val="556B2142"/>
    <w:rsid w:val="55845448"/>
    <w:rsid w:val="559C0803"/>
    <w:rsid w:val="55A81F10"/>
    <w:rsid w:val="55A97069"/>
    <w:rsid w:val="55B8430C"/>
    <w:rsid w:val="55CD544A"/>
    <w:rsid w:val="55EF4C96"/>
    <w:rsid w:val="56132CF0"/>
    <w:rsid w:val="561C1163"/>
    <w:rsid w:val="561E614B"/>
    <w:rsid w:val="56206008"/>
    <w:rsid w:val="56391CAF"/>
    <w:rsid w:val="564D1797"/>
    <w:rsid w:val="56502397"/>
    <w:rsid w:val="56C5267B"/>
    <w:rsid w:val="56CC7E97"/>
    <w:rsid w:val="56DD11BA"/>
    <w:rsid w:val="572F7D59"/>
    <w:rsid w:val="574160A0"/>
    <w:rsid w:val="574F5305"/>
    <w:rsid w:val="57A54C19"/>
    <w:rsid w:val="57C138DF"/>
    <w:rsid w:val="57D4771D"/>
    <w:rsid w:val="57E22DB2"/>
    <w:rsid w:val="57E65D52"/>
    <w:rsid w:val="58233F8A"/>
    <w:rsid w:val="5847772A"/>
    <w:rsid w:val="586A572B"/>
    <w:rsid w:val="58AC10F7"/>
    <w:rsid w:val="58C75A06"/>
    <w:rsid w:val="592D7057"/>
    <w:rsid w:val="597B6333"/>
    <w:rsid w:val="59BB1BFC"/>
    <w:rsid w:val="5A921A63"/>
    <w:rsid w:val="5A997CF2"/>
    <w:rsid w:val="5AA30A7F"/>
    <w:rsid w:val="5AC207A5"/>
    <w:rsid w:val="5B285079"/>
    <w:rsid w:val="5B425472"/>
    <w:rsid w:val="5B50659F"/>
    <w:rsid w:val="5B51351F"/>
    <w:rsid w:val="5B533D73"/>
    <w:rsid w:val="5B657E18"/>
    <w:rsid w:val="5B9B0495"/>
    <w:rsid w:val="5C10598B"/>
    <w:rsid w:val="5C1E703D"/>
    <w:rsid w:val="5C263D56"/>
    <w:rsid w:val="5C3F26E1"/>
    <w:rsid w:val="5C5A3B1C"/>
    <w:rsid w:val="5C6C6AC8"/>
    <w:rsid w:val="5CD16445"/>
    <w:rsid w:val="5CEA3BC8"/>
    <w:rsid w:val="5CFC3F5D"/>
    <w:rsid w:val="5D232696"/>
    <w:rsid w:val="5D387374"/>
    <w:rsid w:val="5D715F2A"/>
    <w:rsid w:val="5DB23AD3"/>
    <w:rsid w:val="5E252170"/>
    <w:rsid w:val="5E8914D8"/>
    <w:rsid w:val="5E9733AB"/>
    <w:rsid w:val="5EB17A5F"/>
    <w:rsid w:val="5ECA27C6"/>
    <w:rsid w:val="5ED3397A"/>
    <w:rsid w:val="5F1F7B0A"/>
    <w:rsid w:val="5F274073"/>
    <w:rsid w:val="5F31182D"/>
    <w:rsid w:val="5FC74B1C"/>
    <w:rsid w:val="5FF01967"/>
    <w:rsid w:val="60035C31"/>
    <w:rsid w:val="602114D2"/>
    <w:rsid w:val="603203C7"/>
    <w:rsid w:val="604E4854"/>
    <w:rsid w:val="606238EA"/>
    <w:rsid w:val="60845522"/>
    <w:rsid w:val="608A48AF"/>
    <w:rsid w:val="608D3749"/>
    <w:rsid w:val="60CD486A"/>
    <w:rsid w:val="60D862C3"/>
    <w:rsid w:val="614459AC"/>
    <w:rsid w:val="61652BBD"/>
    <w:rsid w:val="618D0033"/>
    <w:rsid w:val="618E18D8"/>
    <w:rsid w:val="61C1756D"/>
    <w:rsid w:val="620C0B61"/>
    <w:rsid w:val="62490D68"/>
    <w:rsid w:val="625C6D43"/>
    <w:rsid w:val="62A73B41"/>
    <w:rsid w:val="62C65876"/>
    <w:rsid w:val="631932B5"/>
    <w:rsid w:val="63267D8E"/>
    <w:rsid w:val="63A8376B"/>
    <w:rsid w:val="63C54419"/>
    <w:rsid w:val="63CD3EBD"/>
    <w:rsid w:val="64035DC5"/>
    <w:rsid w:val="6461446A"/>
    <w:rsid w:val="647302C0"/>
    <w:rsid w:val="64AD7157"/>
    <w:rsid w:val="64BF016A"/>
    <w:rsid w:val="64CD5CBB"/>
    <w:rsid w:val="64CE5FB0"/>
    <w:rsid w:val="64E649C7"/>
    <w:rsid w:val="64F14446"/>
    <w:rsid w:val="64FC1143"/>
    <w:rsid w:val="650F61E4"/>
    <w:rsid w:val="65302A8C"/>
    <w:rsid w:val="65530876"/>
    <w:rsid w:val="656F3740"/>
    <w:rsid w:val="65856D85"/>
    <w:rsid w:val="65AB77EC"/>
    <w:rsid w:val="65F14530"/>
    <w:rsid w:val="66684A55"/>
    <w:rsid w:val="66F86D4F"/>
    <w:rsid w:val="67206B97"/>
    <w:rsid w:val="67426E4A"/>
    <w:rsid w:val="67810A51"/>
    <w:rsid w:val="67AE2D1D"/>
    <w:rsid w:val="67B074A6"/>
    <w:rsid w:val="67FE5BB4"/>
    <w:rsid w:val="68123FD5"/>
    <w:rsid w:val="68560A17"/>
    <w:rsid w:val="68D6411C"/>
    <w:rsid w:val="68F32431"/>
    <w:rsid w:val="692D4464"/>
    <w:rsid w:val="69D23A93"/>
    <w:rsid w:val="6A3D6012"/>
    <w:rsid w:val="6A862645"/>
    <w:rsid w:val="6AB64EB9"/>
    <w:rsid w:val="6BA173EB"/>
    <w:rsid w:val="6BE2516A"/>
    <w:rsid w:val="6C145E89"/>
    <w:rsid w:val="6C262ABA"/>
    <w:rsid w:val="6C884AAA"/>
    <w:rsid w:val="6C8F79F8"/>
    <w:rsid w:val="6CE5178A"/>
    <w:rsid w:val="6D807CC3"/>
    <w:rsid w:val="6D8F69E9"/>
    <w:rsid w:val="6D951A56"/>
    <w:rsid w:val="6D953790"/>
    <w:rsid w:val="6E266754"/>
    <w:rsid w:val="6E694F5B"/>
    <w:rsid w:val="6E9076ED"/>
    <w:rsid w:val="6E964A6B"/>
    <w:rsid w:val="6ED73D76"/>
    <w:rsid w:val="6F0C6427"/>
    <w:rsid w:val="6F282776"/>
    <w:rsid w:val="6F506A0E"/>
    <w:rsid w:val="6F565A06"/>
    <w:rsid w:val="6F6C75EE"/>
    <w:rsid w:val="6F7343C8"/>
    <w:rsid w:val="6F833FCB"/>
    <w:rsid w:val="6FA5056D"/>
    <w:rsid w:val="6FBD4A2F"/>
    <w:rsid w:val="70721290"/>
    <w:rsid w:val="70BF24DA"/>
    <w:rsid w:val="70DA381B"/>
    <w:rsid w:val="7143038C"/>
    <w:rsid w:val="71496C0A"/>
    <w:rsid w:val="718C5570"/>
    <w:rsid w:val="71995FE4"/>
    <w:rsid w:val="71BA4709"/>
    <w:rsid w:val="71C37609"/>
    <w:rsid w:val="71D46854"/>
    <w:rsid w:val="71F103E7"/>
    <w:rsid w:val="71FD2BEB"/>
    <w:rsid w:val="729E3267"/>
    <w:rsid w:val="73692DB9"/>
    <w:rsid w:val="73A77438"/>
    <w:rsid w:val="73CD7B13"/>
    <w:rsid w:val="73E15200"/>
    <w:rsid w:val="74944DBA"/>
    <w:rsid w:val="74D4098D"/>
    <w:rsid w:val="74F322FE"/>
    <w:rsid w:val="74F75DA5"/>
    <w:rsid w:val="750B108F"/>
    <w:rsid w:val="750D33A8"/>
    <w:rsid w:val="75492C2D"/>
    <w:rsid w:val="75580B63"/>
    <w:rsid w:val="75C12059"/>
    <w:rsid w:val="760E2F23"/>
    <w:rsid w:val="76127B60"/>
    <w:rsid w:val="768B3986"/>
    <w:rsid w:val="76A5680C"/>
    <w:rsid w:val="76CF0033"/>
    <w:rsid w:val="76D45CCF"/>
    <w:rsid w:val="77251B09"/>
    <w:rsid w:val="77A8014E"/>
    <w:rsid w:val="77AC6DF1"/>
    <w:rsid w:val="77C56609"/>
    <w:rsid w:val="77F541BE"/>
    <w:rsid w:val="77FF27CB"/>
    <w:rsid w:val="781D573B"/>
    <w:rsid w:val="783C74EF"/>
    <w:rsid w:val="78625DBE"/>
    <w:rsid w:val="786760F7"/>
    <w:rsid w:val="7899508B"/>
    <w:rsid w:val="78D8691D"/>
    <w:rsid w:val="790559E8"/>
    <w:rsid w:val="790941DE"/>
    <w:rsid w:val="791204A0"/>
    <w:rsid w:val="79927053"/>
    <w:rsid w:val="79C51C31"/>
    <w:rsid w:val="79DC244B"/>
    <w:rsid w:val="79DF5BCB"/>
    <w:rsid w:val="7A082B57"/>
    <w:rsid w:val="7A22664F"/>
    <w:rsid w:val="7A532FE2"/>
    <w:rsid w:val="7A997E70"/>
    <w:rsid w:val="7AAE71EC"/>
    <w:rsid w:val="7B010199"/>
    <w:rsid w:val="7B27632A"/>
    <w:rsid w:val="7B346CE2"/>
    <w:rsid w:val="7BAA6CC7"/>
    <w:rsid w:val="7C8B589C"/>
    <w:rsid w:val="7CB6708A"/>
    <w:rsid w:val="7D277B55"/>
    <w:rsid w:val="7D436670"/>
    <w:rsid w:val="7D4C1564"/>
    <w:rsid w:val="7D5E2EB5"/>
    <w:rsid w:val="7D623C25"/>
    <w:rsid w:val="7D65651D"/>
    <w:rsid w:val="7D726A94"/>
    <w:rsid w:val="7D870BA7"/>
    <w:rsid w:val="7D93486C"/>
    <w:rsid w:val="7DB20647"/>
    <w:rsid w:val="7DB97A76"/>
    <w:rsid w:val="7E235E22"/>
    <w:rsid w:val="7E275BE3"/>
    <w:rsid w:val="7E38595F"/>
    <w:rsid w:val="7E617DE3"/>
    <w:rsid w:val="7E70345A"/>
    <w:rsid w:val="7EBA5176"/>
    <w:rsid w:val="7F184EE1"/>
    <w:rsid w:val="7F3A0A95"/>
    <w:rsid w:val="7F57107D"/>
    <w:rsid w:val="7F5B4197"/>
    <w:rsid w:val="7F5F61F2"/>
    <w:rsid w:val="7F991375"/>
    <w:rsid w:val="7FAD225E"/>
    <w:rsid w:val="7FD87758"/>
    <w:rsid w:val="7FF9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5"/>
    <w:qFormat/>
    <w:uiPriority w:val="9"/>
    <w:pPr>
      <w:keepNext/>
      <w:keepLines/>
      <w:widowControl/>
      <w:numPr>
        <w:ilvl w:val="0"/>
        <w:numId w:val="1"/>
      </w:numPr>
      <w:snapToGrid w:val="0"/>
      <w:spacing w:beforeLines="100" w:afterLines="100"/>
      <w:jc w:val="left"/>
      <w:outlineLvl w:val="0"/>
    </w:pPr>
    <w:rPr>
      <w:rFonts w:ascii="黑体" w:hAnsi="黑体" w:eastAsia="黑体" w:cs="Times New Roman"/>
      <w:bCs/>
      <w:color w:val="000000"/>
      <w:kern w:val="44"/>
      <w:szCs w:val="44"/>
    </w:rPr>
  </w:style>
  <w:style w:type="paragraph" w:styleId="3">
    <w:name w:val="heading 2"/>
    <w:basedOn w:val="1"/>
    <w:next w:val="1"/>
    <w:link w:val="56"/>
    <w:qFormat/>
    <w:uiPriority w:val="99"/>
    <w:pPr>
      <w:keepNext/>
      <w:keepLines/>
      <w:widowControl/>
      <w:numPr>
        <w:ilvl w:val="1"/>
        <w:numId w:val="1"/>
      </w:numPr>
      <w:spacing w:beforeLines="100" w:afterLines="100"/>
      <w:jc w:val="left"/>
      <w:outlineLvl w:val="1"/>
    </w:pPr>
    <w:rPr>
      <w:rFonts w:ascii="宋体" w:hAnsi="宋体" w:eastAsia="黑体" w:cs="Times New Roman"/>
      <w:bCs/>
      <w:szCs w:val="32"/>
    </w:rPr>
  </w:style>
  <w:style w:type="paragraph" w:styleId="4">
    <w:name w:val="heading 3"/>
    <w:basedOn w:val="1"/>
    <w:next w:val="1"/>
    <w:link w:val="57"/>
    <w:qFormat/>
    <w:uiPriority w:val="9"/>
    <w:pPr>
      <w:keepNext/>
      <w:keepLines/>
      <w:widowControl/>
      <w:numPr>
        <w:ilvl w:val="2"/>
        <w:numId w:val="1"/>
      </w:numPr>
      <w:adjustRightInd w:val="0"/>
      <w:snapToGrid w:val="0"/>
      <w:spacing w:beforeLines="50" w:afterLines="50"/>
      <w:jc w:val="left"/>
      <w:outlineLvl w:val="2"/>
    </w:pPr>
    <w:rPr>
      <w:rFonts w:ascii="Times New Roman" w:hAnsi="Times New Roman" w:eastAsia="黑体" w:cs="Times New Roman"/>
      <w:bCs/>
      <w:szCs w:val="32"/>
    </w:rPr>
  </w:style>
  <w:style w:type="paragraph" w:styleId="5">
    <w:name w:val="heading 4"/>
    <w:basedOn w:val="1"/>
    <w:next w:val="1"/>
    <w:link w:val="58"/>
    <w:qFormat/>
    <w:uiPriority w:val="9"/>
    <w:pPr>
      <w:keepNext/>
      <w:keepLines/>
      <w:widowControl/>
      <w:numPr>
        <w:ilvl w:val="3"/>
        <w:numId w:val="1"/>
      </w:numPr>
      <w:spacing w:before="280" w:after="290" w:line="376" w:lineRule="auto"/>
      <w:jc w:val="left"/>
      <w:outlineLvl w:val="3"/>
    </w:pPr>
    <w:rPr>
      <w:rFonts w:ascii="Arial" w:hAnsi="Arial" w:eastAsia="黑体" w:cs="Times New Roman"/>
      <w:b/>
      <w:bCs/>
      <w:sz w:val="28"/>
      <w:szCs w:val="28"/>
    </w:rPr>
  </w:style>
  <w:style w:type="paragraph" w:styleId="6">
    <w:name w:val="heading 5"/>
    <w:basedOn w:val="1"/>
    <w:next w:val="1"/>
    <w:link w:val="59"/>
    <w:qFormat/>
    <w:uiPriority w:val="9"/>
    <w:pPr>
      <w:keepNext/>
      <w:keepLines/>
      <w:widowControl/>
      <w:numPr>
        <w:ilvl w:val="4"/>
        <w:numId w:val="1"/>
      </w:numPr>
      <w:spacing w:before="280" w:after="290" w:line="376" w:lineRule="auto"/>
      <w:jc w:val="left"/>
      <w:outlineLvl w:val="4"/>
    </w:pPr>
    <w:rPr>
      <w:rFonts w:ascii="Times New Roman" w:hAnsi="Times New Roman" w:eastAsia="宋体" w:cs="Times New Roman"/>
      <w:b/>
      <w:bCs/>
      <w:sz w:val="28"/>
      <w:szCs w:val="28"/>
    </w:rPr>
  </w:style>
  <w:style w:type="paragraph" w:styleId="7">
    <w:name w:val="heading 6"/>
    <w:basedOn w:val="1"/>
    <w:next w:val="1"/>
    <w:link w:val="60"/>
    <w:qFormat/>
    <w:uiPriority w:val="99"/>
    <w:pPr>
      <w:keepNext/>
      <w:keepLines/>
      <w:widowControl/>
      <w:numPr>
        <w:ilvl w:val="5"/>
        <w:numId w:val="1"/>
      </w:numPr>
      <w:spacing w:before="240" w:after="64" w:line="320" w:lineRule="auto"/>
      <w:jc w:val="left"/>
      <w:outlineLvl w:val="5"/>
    </w:pPr>
    <w:rPr>
      <w:rFonts w:ascii="Arial" w:hAnsi="Arial" w:eastAsia="黑体" w:cs="Times New Roman"/>
      <w:b/>
      <w:bCs/>
      <w:sz w:val="24"/>
    </w:rPr>
  </w:style>
  <w:style w:type="paragraph" w:styleId="8">
    <w:name w:val="heading 7"/>
    <w:basedOn w:val="1"/>
    <w:next w:val="1"/>
    <w:link w:val="61"/>
    <w:qFormat/>
    <w:uiPriority w:val="99"/>
    <w:pPr>
      <w:keepNext/>
      <w:keepLines/>
      <w:widowControl/>
      <w:numPr>
        <w:ilvl w:val="6"/>
        <w:numId w:val="1"/>
      </w:numPr>
      <w:spacing w:before="240" w:after="64" w:line="320" w:lineRule="auto"/>
      <w:jc w:val="left"/>
      <w:outlineLvl w:val="6"/>
    </w:pPr>
    <w:rPr>
      <w:rFonts w:ascii="Times New Roman" w:hAnsi="Times New Roman" w:eastAsia="宋体" w:cs="Times New Roman"/>
      <w:b/>
      <w:bCs/>
      <w:sz w:val="24"/>
    </w:rPr>
  </w:style>
  <w:style w:type="paragraph" w:styleId="9">
    <w:name w:val="heading 8"/>
    <w:basedOn w:val="1"/>
    <w:next w:val="1"/>
    <w:link w:val="62"/>
    <w:qFormat/>
    <w:uiPriority w:val="99"/>
    <w:pPr>
      <w:keepNext/>
      <w:keepLines/>
      <w:widowControl/>
      <w:numPr>
        <w:ilvl w:val="7"/>
        <w:numId w:val="1"/>
      </w:numPr>
      <w:spacing w:before="240" w:after="64" w:line="320" w:lineRule="auto"/>
      <w:jc w:val="left"/>
      <w:outlineLvl w:val="7"/>
    </w:pPr>
    <w:rPr>
      <w:rFonts w:ascii="Arial" w:hAnsi="Arial" w:eastAsia="黑体" w:cs="Times New Roman"/>
      <w:sz w:val="24"/>
    </w:rPr>
  </w:style>
  <w:style w:type="paragraph" w:styleId="10">
    <w:name w:val="heading 9"/>
    <w:basedOn w:val="1"/>
    <w:next w:val="1"/>
    <w:link w:val="63"/>
    <w:qFormat/>
    <w:uiPriority w:val="99"/>
    <w:pPr>
      <w:keepNext/>
      <w:keepLines/>
      <w:widowControl/>
      <w:numPr>
        <w:ilvl w:val="8"/>
        <w:numId w:val="1"/>
      </w:numPr>
      <w:spacing w:before="240" w:after="64" w:line="320" w:lineRule="auto"/>
      <w:jc w:val="left"/>
      <w:outlineLvl w:val="8"/>
    </w:pPr>
    <w:rPr>
      <w:rFonts w:ascii="Arial" w:hAnsi="Arial" w:eastAsia="黑体" w:cs="Times New Roman"/>
      <w:szCs w:val="21"/>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rPr>
      <w:sz w:val="21"/>
      <w:szCs w:val="21"/>
    </w:rPr>
  </w:style>
  <w:style w:type="paragraph" w:styleId="12">
    <w:name w:val="toc 3"/>
    <w:basedOn w:val="1"/>
    <w:next w:val="1"/>
    <w:semiHidden/>
    <w:unhideWhenUsed/>
    <w:qFormat/>
    <w:uiPriority w:val="39"/>
    <w:pPr>
      <w:ind w:left="840" w:leftChars="400"/>
    </w:pPr>
  </w:style>
  <w:style w:type="paragraph" w:styleId="13">
    <w:name w:val="footer"/>
    <w:basedOn w:val="1"/>
    <w:link w:val="30"/>
    <w:qFormat/>
    <w:uiPriority w:val="99"/>
    <w:pPr>
      <w:widowControl/>
      <w:tabs>
        <w:tab w:val="center" w:pos="4153"/>
        <w:tab w:val="right" w:pos="8306"/>
      </w:tabs>
      <w:snapToGrid w:val="0"/>
      <w:ind w:right="210" w:rightChars="100"/>
      <w:jc w:val="right"/>
    </w:pPr>
    <w:rPr>
      <w:rFonts w:ascii="Times New Roman" w:hAnsi="Times New Roman" w:eastAsia="宋体" w:cs="Times New Roman"/>
      <w:sz w:val="18"/>
      <w:szCs w:val="18"/>
    </w:rPr>
  </w:style>
  <w:style w:type="paragraph" w:styleId="14">
    <w:name w:val="header"/>
    <w:basedOn w:val="1"/>
    <w:link w:val="31"/>
    <w:qFormat/>
    <w:uiPriority w:val="99"/>
    <w:pPr>
      <w:widowControl/>
      <w:pBdr>
        <w:bottom w:val="single" w:color="auto" w:sz="6" w:space="1"/>
      </w:pBdr>
      <w:tabs>
        <w:tab w:val="center" w:pos="4153"/>
        <w:tab w:val="right" w:pos="8306"/>
      </w:tabs>
      <w:snapToGrid w:val="0"/>
      <w:ind w:left="5355"/>
      <w:jc w:val="center"/>
    </w:pPr>
    <w:rPr>
      <w:rFonts w:ascii="Times New Roman" w:hAnsi="Times New Roman" w:eastAsia="宋体" w:cs="Times New Roman"/>
      <w:sz w:val="18"/>
      <w:szCs w:val="18"/>
    </w:rPr>
  </w:style>
  <w:style w:type="paragraph" w:styleId="15">
    <w:name w:val="toc 1"/>
    <w:basedOn w:val="1"/>
    <w:next w:val="1"/>
    <w:semiHidden/>
    <w:unhideWhenUsed/>
    <w:qFormat/>
    <w:uiPriority w:val="39"/>
  </w:style>
  <w:style w:type="paragraph" w:styleId="16">
    <w:name w:val="toc 2"/>
    <w:basedOn w:val="1"/>
    <w:next w:val="1"/>
    <w:semiHidden/>
    <w:unhideWhenUsed/>
    <w:qFormat/>
    <w:uiPriority w:val="39"/>
    <w:pPr>
      <w:ind w:left="420" w:leftChars="200"/>
    </w:pPr>
  </w:style>
  <w:style w:type="paragraph" w:styleId="17">
    <w:name w:val="HTML Preformatted"/>
    <w:basedOn w:val="1"/>
    <w:link w:val="50"/>
    <w:qFormat/>
    <w:uiPriority w:val="99"/>
    <w:pPr>
      <w:widowControl/>
      <w:jc w:val="left"/>
    </w:pPr>
    <w:rPr>
      <w:rFonts w:ascii="Courier New" w:hAnsi="Courier New" w:eastAsia="宋体" w:cs="Times New Roman"/>
      <w:sz w:val="20"/>
      <w:szCs w:val="20"/>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Title"/>
    <w:basedOn w:val="1"/>
    <w:next w:val="1"/>
    <w:link w:val="49"/>
    <w:qFormat/>
    <w:uiPriority w:val="10"/>
    <w:pPr>
      <w:widowControl/>
      <w:spacing w:before="240" w:after="60"/>
      <w:jc w:val="center"/>
      <w:outlineLvl w:val="0"/>
    </w:pPr>
    <w:rPr>
      <w:rFonts w:ascii="Cambria" w:hAnsi="Cambria" w:eastAsia="黑体" w:cs="Times New Roman"/>
      <w:b/>
      <w:bCs/>
      <w:sz w:val="32"/>
      <w:szCs w:val="32"/>
    </w:rPr>
  </w:style>
  <w:style w:type="table" w:styleId="21">
    <w:name w:val="Table Grid"/>
    <w:basedOn w:val="2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FollowedHyperlink"/>
    <w:qFormat/>
    <w:uiPriority w:val="99"/>
    <w:rPr>
      <w:color w:val="800080"/>
      <w:u w:val="single"/>
    </w:rPr>
  </w:style>
  <w:style w:type="character" w:styleId="25">
    <w:name w:val="Hyperlink"/>
    <w:basedOn w:val="22"/>
    <w:unhideWhenUsed/>
    <w:qFormat/>
    <w:uiPriority w:val="99"/>
    <w:rPr>
      <w:color w:val="0563C1" w:themeColor="hyperlink"/>
      <w:u w:val="single"/>
      <w14:textFill>
        <w14:solidFill>
          <w14:schemeClr w14:val="hlink"/>
        </w14:solidFill>
      </w14:textFill>
    </w:rPr>
  </w:style>
  <w:style w:type="paragraph" w:customStyle="1" w:styleId="26">
    <w:name w:val="段"/>
    <w:link w:val="27"/>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27">
    <w:name w:val="段 Char"/>
    <w:link w:val="26"/>
    <w:qFormat/>
    <w:uiPriority w:val="99"/>
    <w:rPr>
      <w:rFonts w:ascii="宋体" w:hAnsi="Times New Roman" w:eastAsia="宋体" w:cs="Times New Roman"/>
      <w:kern w:val="0"/>
      <w:szCs w:val="20"/>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29">
    <w:name w:val="List Paragraph"/>
    <w:basedOn w:val="1"/>
    <w:qFormat/>
    <w:uiPriority w:val="34"/>
    <w:pPr>
      <w:ind w:firstLine="420" w:firstLineChars="200"/>
    </w:pPr>
    <w:rPr>
      <w:rFonts w:ascii="Times New Roman" w:hAnsi="Times New Roman" w:eastAsia="宋体" w:cs="Times New Roman"/>
      <w:szCs w:val="21"/>
    </w:rPr>
  </w:style>
  <w:style w:type="character" w:customStyle="1" w:styleId="30">
    <w:name w:val="页脚 字符"/>
    <w:basedOn w:val="22"/>
    <w:link w:val="13"/>
    <w:qFormat/>
    <w:uiPriority w:val="99"/>
    <w:rPr>
      <w:rFonts w:ascii="Times New Roman" w:hAnsi="Times New Roman" w:eastAsia="宋体" w:cs="Times New Roman"/>
      <w:sz w:val="18"/>
      <w:szCs w:val="18"/>
    </w:rPr>
  </w:style>
  <w:style w:type="character" w:customStyle="1" w:styleId="31">
    <w:name w:val="页眉 字符"/>
    <w:basedOn w:val="22"/>
    <w:link w:val="14"/>
    <w:qFormat/>
    <w:uiPriority w:val="99"/>
    <w:rPr>
      <w:rFonts w:ascii="Times New Roman" w:hAnsi="Times New Roman" w:eastAsia="宋体" w:cs="Times New Roman"/>
      <w:sz w:val="18"/>
      <w:szCs w:val="18"/>
    </w:rPr>
  </w:style>
  <w:style w:type="paragraph" w:customStyle="1" w:styleId="32">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3">
    <w:name w:val="其他标准称谓"/>
    <w:qFormat/>
    <w:uiPriority w:val="99"/>
    <w:pPr>
      <w:spacing w:line="0" w:lineRule="atLeast"/>
      <w:jc w:val="distribute"/>
    </w:pPr>
    <w:rPr>
      <w:rFonts w:ascii="黑体" w:hAnsi="宋体" w:eastAsia="黑体" w:cs="Times New Roman"/>
      <w:kern w:val="0"/>
      <w:sz w:val="52"/>
      <w:szCs w:val="20"/>
      <w:lang w:val="en-US" w:eastAsia="zh-CN" w:bidi="ar-SA"/>
    </w:rPr>
  </w:style>
  <w:style w:type="paragraph" w:customStyle="1" w:styleId="34">
    <w:name w:val="中等深浅网格 21"/>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6">
    <w:name w:val="实施日期"/>
    <w:basedOn w:val="37"/>
    <w:qFormat/>
    <w:uiPriority w:val="99"/>
    <w:pPr>
      <w:framePr w:hSpace="0" w:wrap="around" w:xAlign="right"/>
      <w:numPr>
        <w:ilvl w:val="4"/>
        <w:numId w:val="2"/>
      </w:numPr>
      <w:jc w:val="right"/>
    </w:pPr>
  </w:style>
  <w:style w:type="paragraph" w:customStyle="1" w:styleId="37">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39">
    <w:name w:val="其他发布部门"/>
    <w:basedOn w:val="1"/>
    <w:qFormat/>
    <w:uiPriority w:val="99"/>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40">
    <w:name w:val="图表脚注"/>
    <w:next w:val="26"/>
    <w:qFormat/>
    <w:uiPriority w:val="99"/>
    <w:pPr>
      <w:numPr>
        <w:ilvl w:val="5"/>
        <w:numId w:val="2"/>
      </w:num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41">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2">
    <w:name w:val="标准标志"/>
    <w:next w:val="1"/>
    <w:qFormat/>
    <w:uiPriority w:val="99"/>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4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4">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5">
    <w:name w:val="封面一致性程度标识"/>
    <w:qFormat/>
    <w:uiPriority w:val="99"/>
    <w:pPr>
      <w:spacing w:before="440" w:line="400" w:lineRule="exact"/>
      <w:jc w:val="center"/>
    </w:pPr>
    <w:rPr>
      <w:rFonts w:ascii="宋体" w:hAnsi="Times New Roman" w:eastAsia="宋体" w:cs="Times New Roman"/>
      <w:kern w:val="0"/>
      <w:sz w:val="28"/>
      <w:szCs w:val="20"/>
      <w:lang w:val="en-US" w:eastAsia="zh-CN" w:bidi="ar-SA"/>
    </w:rPr>
  </w:style>
  <w:style w:type="character" w:customStyle="1" w:styleId="46">
    <w:name w:val="Unresolved Mention"/>
    <w:basedOn w:val="22"/>
    <w:semiHidden/>
    <w:unhideWhenUsed/>
    <w:qFormat/>
    <w:uiPriority w:val="99"/>
    <w:rPr>
      <w:color w:val="605E5C"/>
      <w:shd w:val="clear" w:color="auto" w:fill="E1DFDD"/>
    </w:rPr>
  </w:style>
  <w:style w:type="paragraph" w:customStyle="1" w:styleId="47">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49">
    <w:name w:val="标题 字符"/>
    <w:basedOn w:val="22"/>
    <w:link w:val="19"/>
    <w:qFormat/>
    <w:uiPriority w:val="10"/>
    <w:rPr>
      <w:rFonts w:ascii="Cambria" w:hAnsi="Cambria" w:eastAsia="黑体" w:cs="Times New Roman"/>
      <w:b/>
      <w:bCs/>
      <w:sz w:val="32"/>
      <w:szCs w:val="32"/>
    </w:rPr>
  </w:style>
  <w:style w:type="character" w:customStyle="1" w:styleId="50">
    <w:name w:val="HTML 预设格式 字符"/>
    <w:basedOn w:val="22"/>
    <w:link w:val="17"/>
    <w:qFormat/>
    <w:uiPriority w:val="99"/>
    <w:rPr>
      <w:rFonts w:ascii="Courier New" w:hAnsi="Courier New" w:eastAsia="宋体" w:cs="Times New Roman"/>
      <w:sz w:val="20"/>
      <w:szCs w:val="20"/>
    </w:rPr>
  </w:style>
  <w:style w:type="paragraph" w:customStyle="1" w:styleId="51">
    <w:name w:val="列出段落1"/>
    <w:basedOn w:val="1"/>
    <w:qFormat/>
    <w:uiPriority w:val="34"/>
    <w:pPr>
      <w:ind w:firstLine="420" w:firstLineChars="200"/>
    </w:pPr>
    <w:rPr>
      <w:rFonts w:ascii="Times New Roman" w:hAnsi="Times New Roman" w:eastAsia="宋体" w:cs="Times New Roman"/>
      <w:szCs w:val="21"/>
    </w:rPr>
  </w:style>
  <w:style w:type="paragraph" w:customStyle="1" w:styleId="52">
    <w:name w:val="无间隔1"/>
    <w:qFormat/>
    <w:uiPriority w:val="1"/>
    <w:rPr>
      <w:rFonts w:ascii="Times New Roman" w:hAnsi="Times New Roman" w:eastAsia="宋体" w:cs="Times New Roman"/>
      <w:kern w:val="0"/>
      <w:sz w:val="24"/>
      <w:szCs w:val="24"/>
      <w:lang w:val="en-US" w:eastAsia="zh-CN" w:bidi="ar-SA"/>
    </w:rPr>
  </w:style>
  <w:style w:type="paragraph" w:customStyle="1" w:styleId="53">
    <w:name w:val="列表段落1"/>
    <w:basedOn w:val="1"/>
    <w:qFormat/>
    <w:uiPriority w:val="34"/>
    <w:pPr>
      <w:ind w:firstLine="420" w:firstLineChars="200"/>
    </w:pPr>
    <w:rPr>
      <w:rFonts w:ascii="Times New Roman" w:hAnsi="Times New Roman" w:eastAsia="宋体" w:cs="Times New Roman"/>
      <w:szCs w:val="21"/>
    </w:rPr>
  </w:style>
  <w:style w:type="character" w:customStyle="1" w:styleId="54">
    <w:name w:val="apple-converted-space"/>
    <w:basedOn w:val="22"/>
    <w:qFormat/>
    <w:uiPriority w:val="0"/>
  </w:style>
  <w:style w:type="character" w:customStyle="1" w:styleId="55">
    <w:name w:val="标题 1 字符"/>
    <w:basedOn w:val="22"/>
    <w:link w:val="2"/>
    <w:qFormat/>
    <w:uiPriority w:val="9"/>
    <w:rPr>
      <w:rFonts w:ascii="黑体" w:hAnsi="黑体" w:eastAsia="黑体" w:cs="Times New Roman"/>
      <w:bCs/>
      <w:color w:val="000000"/>
      <w:kern w:val="44"/>
      <w:szCs w:val="44"/>
    </w:rPr>
  </w:style>
  <w:style w:type="character" w:customStyle="1" w:styleId="56">
    <w:name w:val="标题 2 字符"/>
    <w:basedOn w:val="22"/>
    <w:link w:val="3"/>
    <w:qFormat/>
    <w:uiPriority w:val="99"/>
    <w:rPr>
      <w:rFonts w:ascii="宋体" w:hAnsi="宋体" w:eastAsia="黑体" w:cs="Times New Roman"/>
      <w:bCs/>
      <w:szCs w:val="32"/>
    </w:rPr>
  </w:style>
  <w:style w:type="character" w:customStyle="1" w:styleId="57">
    <w:name w:val="标题 3 字符"/>
    <w:basedOn w:val="22"/>
    <w:link w:val="4"/>
    <w:qFormat/>
    <w:uiPriority w:val="9"/>
    <w:rPr>
      <w:rFonts w:ascii="Times New Roman" w:hAnsi="Times New Roman" w:eastAsia="黑体" w:cs="Times New Roman"/>
      <w:bCs/>
      <w:szCs w:val="32"/>
    </w:rPr>
  </w:style>
  <w:style w:type="character" w:customStyle="1" w:styleId="58">
    <w:name w:val="标题 4 字符"/>
    <w:basedOn w:val="22"/>
    <w:link w:val="5"/>
    <w:qFormat/>
    <w:uiPriority w:val="9"/>
    <w:rPr>
      <w:rFonts w:ascii="Arial" w:hAnsi="Arial" w:eastAsia="黑体" w:cs="Times New Roman"/>
      <w:b/>
      <w:bCs/>
      <w:sz w:val="28"/>
      <w:szCs w:val="28"/>
    </w:rPr>
  </w:style>
  <w:style w:type="character" w:customStyle="1" w:styleId="59">
    <w:name w:val="标题 5 字符"/>
    <w:basedOn w:val="22"/>
    <w:link w:val="6"/>
    <w:qFormat/>
    <w:uiPriority w:val="9"/>
    <w:rPr>
      <w:rFonts w:ascii="Times New Roman" w:hAnsi="Times New Roman" w:eastAsia="宋体" w:cs="Times New Roman"/>
      <w:b/>
      <w:bCs/>
      <w:sz w:val="28"/>
      <w:szCs w:val="28"/>
    </w:rPr>
  </w:style>
  <w:style w:type="character" w:customStyle="1" w:styleId="60">
    <w:name w:val="标题 6 字符"/>
    <w:basedOn w:val="22"/>
    <w:link w:val="7"/>
    <w:qFormat/>
    <w:uiPriority w:val="99"/>
    <w:rPr>
      <w:rFonts w:ascii="Arial" w:hAnsi="Arial" w:eastAsia="黑体" w:cs="Times New Roman"/>
      <w:b/>
      <w:bCs/>
      <w:sz w:val="24"/>
    </w:rPr>
  </w:style>
  <w:style w:type="character" w:customStyle="1" w:styleId="61">
    <w:name w:val="标题 7 字符"/>
    <w:basedOn w:val="22"/>
    <w:link w:val="8"/>
    <w:qFormat/>
    <w:uiPriority w:val="99"/>
    <w:rPr>
      <w:rFonts w:ascii="Times New Roman" w:hAnsi="Times New Roman" w:eastAsia="宋体" w:cs="Times New Roman"/>
      <w:b/>
      <w:bCs/>
      <w:sz w:val="24"/>
    </w:rPr>
  </w:style>
  <w:style w:type="character" w:customStyle="1" w:styleId="62">
    <w:name w:val="标题 8 字符"/>
    <w:basedOn w:val="22"/>
    <w:link w:val="9"/>
    <w:qFormat/>
    <w:uiPriority w:val="99"/>
    <w:rPr>
      <w:rFonts w:ascii="Arial" w:hAnsi="Arial" w:eastAsia="黑体" w:cs="Times New Roman"/>
      <w:sz w:val="24"/>
    </w:rPr>
  </w:style>
  <w:style w:type="character" w:customStyle="1" w:styleId="63">
    <w:name w:val="标题 9 字符"/>
    <w:basedOn w:val="22"/>
    <w:link w:val="10"/>
    <w:qFormat/>
    <w:uiPriority w:val="99"/>
    <w:rPr>
      <w:rFonts w:ascii="Arial" w:hAnsi="Arial" w:eastAsia="黑体" w:cs="Times New Roman"/>
      <w:szCs w:val="21"/>
    </w:rPr>
  </w:style>
  <w:style w:type="paragraph" w:customStyle="1" w:styleId="64">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653E2-F27E-B44E-AE70-DAB1675AE176}">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18592</Words>
  <Characters>19894</Characters>
  <Lines>187</Lines>
  <Paragraphs>52</Paragraphs>
  <TotalTime>7</TotalTime>
  <ScaleCrop>false</ScaleCrop>
  <LinksUpToDate>false</LinksUpToDate>
  <CharactersWithSpaces>20695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2021-07-21T00:46:00Z</dcterms:created>
  <dc:creator>Z2097</dc:creator>
  <cp:lastModifiedBy>人在天涯</cp:lastModifiedBy>
  <dcterms:modified xsi:type="dcterms:W3CDTF">2021-09-10T02:39:46Z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4AE3E8CC8F4540C3A936B5482FF6AF09</vt:lpwstr>
  </property>
</Properties>
</file>