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Hlk69735106"/>
      <w:r>
        <w:rPr>
          <w:rFonts w:hint="eastAsia" w:ascii="方正小标宋简体" w:eastAsia="方正小标宋简体"/>
          <w:sz w:val="40"/>
          <w:szCs w:val="40"/>
        </w:rPr>
        <w:t>《网络空间安全专业人员认证规范》</w:t>
      </w:r>
      <w:bookmarkEnd w:id="0"/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编制说明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工作简况</w:t>
      </w:r>
    </w:p>
    <w:p>
      <w:pPr>
        <w:pStyle w:val="7"/>
        <w:ind w:left="72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1.1任务来源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《网络空间安全专业人员认证规范》由</w:t>
      </w:r>
      <w:r>
        <w:rPr>
          <w:rFonts w:hint="eastAsia" w:ascii="仿宋_GB2312" w:eastAsia="仿宋_GB2312"/>
          <w:sz w:val="28"/>
          <w:szCs w:val="28"/>
          <w:lang w:eastAsia="zh-CN"/>
        </w:rPr>
        <w:t>广东省网络空间安全协会、北京网络空间安全协会</w:t>
      </w:r>
      <w:r>
        <w:rPr>
          <w:rFonts w:hint="eastAsia" w:ascii="仿宋_GB2312" w:eastAsia="仿宋_GB2312"/>
          <w:sz w:val="28"/>
          <w:szCs w:val="28"/>
        </w:rPr>
        <w:t>提出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归口。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0" w:firstLine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1.2主要起草单位和工作组成员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本标准起草单位：</w:t>
      </w:r>
      <w:r>
        <w:rPr>
          <w:rFonts w:hint="eastAsia" w:ascii="仿宋_GB2312" w:eastAsia="仿宋_GB2312"/>
          <w:sz w:val="28"/>
          <w:szCs w:val="28"/>
          <w:lang w:eastAsia="zh-CN"/>
        </w:rPr>
        <w:t>广东省网络空间安全协会、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广东关键信息基础设施保护中心、网安联认证服务有限公司、广发证券股份有限公司、联通（广东）产业互联网有限公司、广州华南信息安全测评中心、深圳市计量质量检测研究院、广东计安信息网络培训中心、广东省东莞市凤岗医院、广东中证声像资料司法鉴定所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本标准起草人：成珍苑、吴星火、林小博、陈彦彬、姚飞、周绍午、安创文、李炯彬、杜守红、谭祥明、杨文玲、王欢、徐伟、陈宁、贺锋、叶婷、曾幸钦、曾炽强、袁毅鸣、曾灶烟、李树湖、刘泽楠、周贵招、麦世能、卢焕镇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1.3主要工作过程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ascii="仿宋_GB2312" w:eastAsia="仿宋_GB2312"/>
          <w:sz w:val="28"/>
          <w:szCs w:val="28"/>
        </w:rPr>
        <w:t>2019年12月</w:t>
      </w:r>
      <w:r>
        <w:rPr>
          <w:rFonts w:hint="eastAsia" w:ascii="仿宋_GB2312" w:eastAsia="仿宋_GB2312"/>
          <w:sz w:val="28"/>
          <w:szCs w:val="28"/>
        </w:rPr>
        <w:t>，经广东省网络空间安全协会和北京网络空间安全协会批准立项。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ascii="仿宋_GB2312" w:eastAsia="仿宋_GB2312"/>
          <w:sz w:val="28"/>
          <w:szCs w:val="28"/>
        </w:rPr>
        <w:t>2021年5月21日</w:t>
      </w:r>
      <w:r>
        <w:rPr>
          <w:rFonts w:hint="eastAsia" w:ascii="仿宋_GB2312" w:eastAsia="仿宋_GB2312"/>
          <w:sz w:val="28"/>
          <w:szCs w:val="28"/>
        </w:rPr>
        <w:t>，编制组召开标准编制启动会。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（3）2</w:t>
      </w:r>
      <w:r>
        <w:rPr>
          <w:rFonts w:ascii="仿宋_GB2312" w:eastAsia="仿宋_GB2312"/>
          <w:sz w:val="28"/>
          <w:szCs w:val="28"/>
        </w:rPr>
        <w:t>021</w:t>
      </w:r>
      <w:r>
        <w:rPr>
          <w:rFonts w:hint="eastAsia" w:ascii="仿宋_GB2312" w:eastAsia="仿宋_GB2312"/>
          <w:sz w:val="28"/>
          <w:szCs w:val="28"/>
        </w:rPr>
        <w:t>年7月5日，编制组完成标准初稿的编制。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</w:t>
      </w:r>
      <w:r>
        <w:rPr>
          <w:rFonts w:ascii="仿宋_GB2312" w:eastAsia="仿宋_GB2312"/>
          <w:sz w:val="28"/>
          <w:szCs w:val="28"/>
        </w:rPr>
        <w:t>2021年7月29日</w:t>
      </w:r>
      <w:r>
        <w:rPr>
          <w:rFonts w:hint="eastAsia" w:ascii="仿宋_GB2312" w:eastAsia="仿宋_GB2312"/>
          <w:sz w:val="28"/>
          <w:szCs w:val="28"/>
        </w:rPr>
        <w:t>，经内部多次讨论研究，形成标准内容</w:t>
      </w:r>
      <w:r>
        <w:rPr>
          <w:rFonts w:hint="eastAsia" w:ascii="仿宋_GB2312" w:eastAsia="仿宋_GB2312"/>
          <w:sz w:val="28"/>
          <w:szCs w:val="28"/>
          <w:lang w:eastAsia="zh-CN"/>
        </w:rPr>
        <w:t>草案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2021年9月2日</w:t>
      </w:r>
      <w:r>
        <w:rPr>
          <w:rFonts w:hint="eastAsia" w:ascii="仿宋_GB2312" w:eastAsia="仿宋_GB2312"/>
          <w:sz w:val="28"/>
          <w:szCs w:val="28"/>
        </w:rPr>
        <w:t>，编制组召开组内研讨会，基于前期成果，经多次内部讨论研究，组织完善草案内容，形成</w:t>
      </w:r>
      <w:r>
        <w:rPr>
          <w:rFonts w:hint="eastAsia" w:ascii="仿宋_GB2312" w:eastAsia="仿宋_GB2312"/>
          <w:sz w:val="28"/>
          <w:szCs w:val="28"/>
          <w:lang w:eastAsia="zh-CN"/>
        </w:rPr>
        <w:t>征集意见稿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1" w:name="_GoBack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二、标准编制原则和标准编制详细说明及解决的主要问题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2.1编制原则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本标准的研究与编制工作遵循以下原则：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（1）符合性原则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遵循国家现有资费相关标准，符合国家有关法律法规和已编制标准规范的相关要求，符合国家资费管理主管部门的要求。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（2）实用性原则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本标准规范是对实际工作成果的总结与提升，保持整体结果合理且维持原意和功能不变，针对网络空间安全领域不同方向人员，制定专业的认证标准，满足社会对实用人才的需求。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2.2文档结构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网络安全服务机构等级评定规范文档分为前言、引言、范围、规范性引用文件、术语和定义、认证类别、方向及级别划分、认证通用要求、认证评价、附录等十部分。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2.3整体格式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整体格式根据GB/T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1.1-2020《标准化工作导则</w:t>
      </w:r>
      <w:r>
        <w:rPr>
          <w:rFonts w:ascii="仿宋_GB2312" w:eastAsia="仿宋_GB2312"/>
          <w:sz w:val="28"/>
          <w:szCs w:val="28"/>
        </w:rPr>
        <w:t xml:space="preserve"> 第1部分：标准化文件的结构和起草规则</w:t>
      </w:r>
      <w:r>
        <w:rPr>
          <w:rFonts w:hint="eastAsia" w:ascii="仿宋_GB2312" w:eastAsia="仿宋_GB2312"/>
          <w:sz w:val="28"/>
          <w:szCs w:val="28"/>
        </w:rPr>
        <w:t>》的相关要求，对本标准的各要素进行编写和排版。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在标准内容汇总过程中，对各编写组成员提交过来的部分，根据</w:t>
      </w:r>
      <w:r>
        <w:rPr>
          <w:rFonts w:ascii="仿宋_GB2312" w:eastAsia="仿宋_GB2312"/>
          <w:sz w:val="28"/>
          <w:szCs w:val="28"/>
        </w:rPr>
        <w:t>GB/T 1.1</w:t>
      </w:r>
      <w:r>
        <w:rPr>
          <w:rFonts w:hint="eastAsia" w:ascii="仿宋_GB2312" w:eastAsia="仿宋_GB2312"/>
          <w:sz w:val="28"/>
          <w:szCs w:val="28"/>
        </w:rPr>
        <w:t>的编写要求进行了必要的增删改，以确保符合一致性、协调性、易用性等文件的表述原则及相关规定。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2.4</w:t>
      </w:r>
      <w:r>
        <w:rPr>
          <w:rFonts w:ascii="黑体" w:hAnsi="黑体" w:eastAsia="黑体"/>
          <w:sz w:val="28"/>
          <w:szCs w:val="28"/>
        </w:rPr>
        <w:t>标准名称英文翻译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标准的名称“网络安全服务机构等级评定规范”翻译为</w:t>
      </w:r>
      <w:r>
        <w:rPr>
          <w:rFonts w:ascii="仿宋_GB2312" w:eastAsia="仿宋_GB2312"/>
          <w:sz w:val="28"/>
          <w:szCs w:val="28"/>
        </w:rPr>
        <w:t xml:space="preserve">Cyberspace </w:t>
      </w:r>
      <w:r>
        <w:rPr>
          <w:rFonts w:hint="eastAsia" w:ascii="仿宋_GB2312" w:eastAsia="仿宋_GB2312"/>
          <w:sz w:val="28"/>
          <w:szCs w:val="28"/>
        </w:rPr>
        <w:t>security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certification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specification。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2.5术语和定义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术语和定义中所列的术语的英文翻译，根据各部分编写成员提供的术语，如有类似术语的标准，参考了其翻译，没有类似术语标准翻译的，通过百度翻译和谷歌翻译后进行对比，并参考网络相关翻译后进行确定。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2.6网络空间安全专业人员分类分级说明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网络空间安全专业人员共分3个类别，包括管理类、运营类、技术类，共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个专业方向。管理类包括网络安全审计、网络安全风险管理、个人信息安全保护、舆情监测等4个方向，运营类包括监测预警、网络安全规划设计、信息系统安全运维、网络安全应急相应等4个方向，技术类包括云计算安全、软件安全开发、工业互联网安全、信息安全集成、渗透测试、大数据安全、密码技术、人工智能安全、物联网安全等9个方向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</w:t>
      </w: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>结构与内容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所有方向人员认证共分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级，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到5级中，1级为最低级，5级为最高级。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级为预备级，二级为基础级，三级为专业级，四级为高级专业级，5级为专家级，标准对对各级别的学历、工作经历、技能等进行了要求。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附录为各级别和方向的考试大纲，描述了各级别缩写掌握的知识、考试内容、考试题型和考试要求等。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2.8参考文献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本部分列出了在本标准编写过程中所参考的主要文献名称。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2.9解决问题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通过对本标准的制定，主要解决了现行标准的</w:t>
      </w:r>
      <w:r>
        <w:rPr>
          <w:rFonts w:hint="eastAsia" w:ascii="仿宋_GB2312" w:eastAsia="仿宋_GB2312"/>
          <w:sz w:val="28"/>
          <w:szCs w:val="28"/>
          <w:lang w:eastAsia="zh-CN"/>
        </w:rPr>
        <w:t>科学性、</w:t>
      </w:r>
      <w:r>
        <w:rPr>
          <w:rFonts w:hint="eastAsia" w:ascii="仿宋_GB2312" w:eastAsia="仿宋_GB2312"/>
          <w:sz w:val="28"/>
          <w:szCs w:val="28"/>
        </w:rPr>
        <w:t>实用性问题，具体内容包括：</w:t>
      </w:r>
    </w:p>
    <w:p>
      <w:pPr>
        <w:numPr>
          <w:ilvl w:val="0"/>
          <w:numId w:val="2"/>
        </w:numPr>
        <w:ind w:left="70" w:leftChars="0" w:firstLine="56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网络空间安全专业人员认证分类混乱，分类不能很好匹配行业要求；</w:t>
      </w:r>
    </w:p>
    <w:p>
      <w:pPr>
        <w:numPr>
          <w:ilvl w:val="0"/>
          <w:numId w:val="2"/>
        </w:numPr>
        <w:ind w:left="70" w:leftChars="0" w:firstLine="56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网络空间安全专业人员</w:t>
      </w:r>
      <w:r>
        <w:rPr>
          <w:rFonts w:hint="eastAsia" w:ascii="仿宋_GB2312" w:eastAsia="仿宋_GB2312"/>
          <w:sz w:val="28"/>
          <w:szCs w:val="28"/>
        </w:rPr>
        <w:t>应具备何种专业知识和能力水平建立标准规范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ind w:left="70" w:leftChars="0" w:firstLine="560" w:firstLineChars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为网络空间安全人才评价考核、选拔任用、职业晋阶提供了参考依据，推进网络空间安全人才的职业化和专业化发展。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三、知识产权情况说明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本标准不涉及专利。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四、采用国际标准和国外先进标准情况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五、与现行相关法律、法规、规章及相关标准的协调性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本标准不触犯国家现行法律法规，不与其他强制性国标相冲突。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六、重大分歧意见的处理经过和依据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《网络空间安全专业人员认证规范》编制过程中未出现重大分歧。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七、标准性质的建议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建议《网络空间安全专业人员认证规范》作为推荐性团体标准发布实施。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八、贯彻标准的要求和措施建议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鉴于本标准是网络空间安全专业人员认证的标准，建议在标准贯彻执行过程中，各单位应当起到协调以及推广的作用，召开研讨会、协调会，网络空间安全专业人员认证中首先使用本标准中的方法进行评估。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九、替代或废止现行相关标准的建议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无替代或废止。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十、其他应予说明的事项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无。</w:t>
      </w: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《网络空间安全专业人员认证规范》标准编制组</w:t>
      </w: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283794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66437"/>
    <w:multiLevelType w:val="multilevel"/>
    <w:tmpl w:val="4F96643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2B4E42"/>
    <w:multiLevelType w:val="singleLevel"/>
    <w:tmpl w:val="732B4E42"/>
    <w:lvl w:ilvl="0" w:tentative="0">
      <w:start w:val="1"/>
      <w:numFmt w:val="decimal"/>
      <w:suff w:val="nothing"/>
      <w:lvlText w:val="（%1）"/>
      <w:lvlJc w:val="left"/>
      <w:pPr>
        <w:ind w:left="7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07"/>
    <w:rsid w:val="000326C6"/>
    <w:rsid w:val="00086107"/>
    <w:rsid w:val="000F2C07"/>
    <w:rsid w:val="00104C61"/>
    <w:rsid w:val="00155403"/>
    <w:rsid w:val="00163B71"/>
    <w:rsid w:val="0018569F"/>
    <w:rsid w:val="00225BD4"/>
    <w:rsid w:val="00277327"/>
    <w:rsid w:val="002A69D1"/>
    <w:rsid w:val="002A77BC"/>
    <w:rsid w:val="002E475C"/>
    <w:rsid w:val="002F091B"/>
    <w:rsid w:val="00301BB0"/>
    <w:rsid w:val="003243C9"/>
    <w:rsid w:val="003730C2"/>
    <w:rsid w:val="00393280"/>
    <w:rsid w:val="003A5FCD"/>
    <w:rsid w:val="00407E03"/>
    <w:rsid w:val="004714DF"/>
    <w:rsid w:val="004848BA"/>
    <w:rsid w:val="004A3D3E"/>
    <w:rsid w:val="004A4314"/>
    <w:rsid w:val="004B3396"/>
    <w:rsid w:val="004E0C9F"/>
    <w:rsid w:val="004E3081"/>
    <w:rsid w:val="00516D40"/>
    <w:rsid w:val="00536B23"/>
    <w:rsid w:val="005376CF"/>
    <w:rsid w:val="00572D4C"/>
    <w:rsid w:val="00580719"/>
    <w:rsid w:val="005A39EA"/>
    <w:rsid w:val="005E48C4"/>
    <w:rsid w:val="0060782A"/>
    <w:rsid w:val="00663D1F"/>
    <w:rsid w:val="006E1B60"/>
    <w:rsid w:val="007614C3"/>
    <w:rsid w:val="00761B43"/>
    <w:rsid w:val="007663DC"/>
    <w:rsid w:val="007B777E"/>
    <w:rsid w:val="007E21AF"/>
    <w:rsid w:val="00882086"/>
    <w:rsid w:val="008C6A28"/>
    <w:rsid w:val="008D0924"/>
    <w:rsid w:val="008E245F"/>
    <w:rsid w:val="00904502"/>
    <w:rsid w:val="00904535"/>
    <w:rsid w:val="00933853"/>
    <w:rsid w:val="0093650A"/>
    <w:rsid w:val="00952782"/>
    <w:rsid w:val="009E367C"/>
    <w:rsid w:val="00A05275"/>
    <w:rsid w:val="00A11A93"/>
    <w:rsid w:val="00A76DFF"/>
    <w:rsid w:val="00A915DD"/>
    <w:rsid w:val="00AE50D3"/>
    <w:rsid w:val="00B41C30"/>
    <w:rsid w:val="00B4680A"/>
    <w:rsid w:val="00B70659"/>
    <w:rsid w:val="00B8030E"/>
    <w:rsid w:val="00B8104A"/>
    <w:rsid w:val="00B877FC"/>
    <w:rsid w:val="00BD7607"/>
    <w:rsid w:val="00BF78D9"/>
    <w:rsid w:val="00C40F4B"/>
    <w:rsid w:val="00C609A9"/>
    <w:rsid w:val="00C97A03"/>
    <w:rsid w:val="00CE71FA"/>
    <w:rsid w:val="00D040E7"/>
    <w:rsid w:val="00D118D3"/>
    <w:rsid w:val="00D3588E"/>
    <w:rsid w:val="00D70039"/>
    <w:rsid w:val="00D93CAB"/>
    <w:rsid w:val="00D978F2"/>
    <w:rsid w:val="00DE19EE"/>
    <w:rsid w:val="00DF042B"/>
    <w:rsid w:val="00E0225D"/>
    <w:rsid w:val="00E0575D"/>
    <w:rsid w:val="00E3670A"/>
    <w:rsid w:val="00E54234"/>
    <w:rsid w:val="00E54D9F"/>
    <w:rsid w:val="00E6085D"/>
    <w:rsid w:val="00E736A2"/>
    <w:rsid w:val="00ED1931"/>
    <w:rsid w:val="00ED4D08"/>
    <w:rsid w:val="00F463A8"/>
    <w:rsid w:val="00F60E62"/>
    <w:rsid w:val="00F6466E"/>
    <w:rsid w:val="00F726DC"/>
    <w:rsid w:val="00F967F1"/>
    <w:rsid w:val="00FF573B"/>
    <w:rsid w:val="051B1254"/>
    <w:rsid w:val="155622B1"/>
    <w:rsid w:val="191275E7"/>
    <w:rsid w:val="1A093FBE"/>
    <w:rsid w:val="1E6F42DF"/>
    <w:rsid w:val="20C51032"/>
    <w:rsid w:val="23782093"/>
    <w:rsid w:val="29E4789D"/>
    <w:rsid w:val="2FB22784"/>
    <w:rsid w:val="378B73B3"/>
    <w:rsid w:val="443D3557"/>
    <w:rsid w:val="5C704ED8"/>
    <w:rsid w:val="5E195B39"/>
    <w:rsid w:val="640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段"/>
    <w:link w:val="12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5B6CA-3311-B347-A673-8E5FD9995D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307</Words>
  <Characters>1756</Characters>
  <Lines>14</Lines>
  <Paragraphs>4</Paragraphs>
  <TotalTime>0</TotalTime>
  <ScaleCrop>false</ScaleCrop>
  <LinksUpToDate>false</LinksUpToDate>
  <CharactersWithSpaces>2059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2021-09-06T01:48:00Z</dcterms:created>
  <dc:creator>JIAKE QIN</dc:creator>
  <cp:lastModifiedBy>人在天涯</cp:lastModifiedBy>
  <dcterms:modified xsi:type="dcterms:W3CDTF">2021-09-07T03:29:42Z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B04DF85F67154194AFD012CF78CB1A9F</vt:lpwstr>
  </property>
</Properties>
</file>